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400" w:type="dxa"/>
        <w:tblInd w:w="-285" w:type="dxa"/>
        <w:tblLook w:val="04A0" w:firstRow="1" w:lastRow="0" w:firstColumn="1" w:lastColumn="0" w:noHBand="0" w:noVBand="1"/>
      </w:tblPr>
      <w:tblGrid>
        <w:gridCol w:w="5163"/>
        <w:gridCol w:w="9237"/>
      </w:tblGrid>
      <w:tr w:rsidR="009E7B72" w:rsidRPr="000D0F33" w14:paraId="014E2592" w14:textId="77777777" w:rsidTr="00B21FEF">
        <w:tc>
          <w:tcPr>
            <w:tcW w:w="5163" w:type="dxa"/>
            <w:tcBorders>
              <w:top w:val="single" w:sz="12" w:space="0" w:color="auto"/>
              <w:left w:val="single" w:sz="12" w:space="0" w:color="auto"/>
              <w:bottom w:val="single" w:sz="12" w:space="0" w:color="auto"/>
              <w:right w:val="single" w:sz="4" w:space="0" w:color="auto"/>
            </w:tcBorders>
            <w:shd w:val="clear" w:color="auto" w:fill="D9D9D9"/>
          </w:tcPr>
          <w:p w14:paraId="2019C2E8" w14:textId="77777777" w:rsidR="009E7B72" w:rsidRPr="00215AC5" w:rsidRDefault="009E7B72" w:rsidP="00C11013">
            <w:pPr>
              <w:rPr>
                <w:rFonts w:eastAsia="Calibri" w:cs="Times New Roman"/>
                <w:sz w:val="18"/>
                <w:szCs w:val="18"/>
              </w:rPr>
            </w:pPr>
            <w:r w:rsidRPr="00215AC5">
              <w:rPr>
                <w:rFonts w:eastAsia="Calibri" w:cs="Times New Roman"/>
                <w:sz w:val="18"/>
                <w:szCs w:val="18"/>
              </w:rPr>
              <w:t xml:space="preserve">Legal Entity </w:t>
            </w:r>
          </w:p>
        </w:tc>
        <w:tc>
          <w:tcPr>
            <w:tcW w:w="9237" w:type="dxa"/>
            <w:tcBorders>
              <w:top w:val="single" w:sz="12" w:space="0" w:color="auto"/>
              <w:left w:val="single" w:sz="4" w:space="0" w:color="auto"/>
              <w:bottom w:val="single" w:sz="12" w:space="0" w:color="auto"/>
              <w:right w:val="single" w:sz="12" w:space="0" w:color="auto"/>
            </w:tcBorders>
          </w:tcPr>
          <w:p w14:paraId="17570B03" w14:textId="2F7DC7D4" w:rsidR="009E7B72" w:rsidRPr="008F74E1" w:rsidRDefault="009E7B72" w:rsidP="00C11013">
            <w:pPr>
              <w:rPr>
                <w:sz w:val="18"/>
                <w:szCs w:val="18"/>
              </w:rPr>
            </w:pPr>
            <w:r w:rsidRPr="008F74E1">
              <w:rPr>
                <w:sz w:val="18"/>
                <w:szCs w:val="18"/>
              </w:rPr>
              <w:t xml:space="preserve">J.P. Morgan </w:t>
            </w:r>
            <w:r w:rsidR="00DC5BCA">
              <w:rPr>
                <w:sz w:val="18"/>
                <w:szCs w:val="18"/>
              </w:rPr>
              <w:t>SE</w:t>
            </w:r>
            <w:r w:rsidRPr="008F74E1">
              <w:rPr>
                <w:sz w:val="18"/>
                <w:szCs w:val="18"/>
              </w:rPr>
              <w:t xml:space="preserve"> (549300ZK53CNGEEI6A</w:t>
            </w:r>
            <w:proofErr w:type="gramStart"/>
            <w:r w:rsidRPr="008F74E1">
              <w:rPr>
                <w:sz w:val="18"/>
                <w:szCs w:val="18"/>
              </w:rPr>
              <w:t>29)</w:t>
            </w:r>
            <w:r w:rsidR="00BB0591">
              <w:rPr>
                <w:sz w:val="18"/>
                <w:szCs w:val="18"/>
              </w:rPr>
              <w:t>*</w:t>
            </w:r>
            <w:proofErr w:type="gramEnd"/>
          </w:p>
        </w:tc>
      </w:tr>
      <w:tr w:rsidR="009E7B72" w:rsidRPr="000D0F33" w14:paraId="6F104686" w14:textId="77777777" w:rsidTr="00B21FEF">
        <w:tc>
          <w:tcPr>
            <w:tcW w:w="5163" w:type="dxa"/>
            <w:tcBorders>
              <w:top w:val="single" w:sz="12" w:space="0" w:color="auto"/>
              <w:left w:val="single" w:sz="12" w:space="0" w:color="auto"/>
              <w:bottom w:val="single" w:sz="12" w:space="0" w:color="auto"/>
              <w:right w:val="single" w:sz="4" w:space="0" w:color="auto"/>
            </w:tcBorders>
            <w:shd w:val="clear" w:color="auto" w:fill="D9D9D9"/>
          </w:tcPr>
          <w:p w14:paraId="2E03FD59" w14:textId="77777777" w:rsidR="009E7B72" w:rsidRPr="00215AC5" w:rsidRDefault="009E7B72" w:rsidP="00C11013">
            <w:pPr>
              <w:rPr>
                <w:rFonts w:eastAsia="Calibri" w:cs="Times New Roman"/>
                <w:sz w:val="18"/>
                <w:szCs w:val="18"/>
              </w:rPr>
            </w:pPr>
            <w:r w:rsidRPr="00215AC5">
              <w:rPr>
                <w:rFonts w:eastAsia="Calibri" w:cs="Times New Roman"/>
                <w:sz w:val="18"/>
                <w:szCs w:val="18"/>
              </w:rPr>
              <w:t>Class of Instrument</w:t>
            </w:r>
          </w:p>
        </w:tc>
        <w:tc>
          <w:tcPr>
            <w:tcW w:w="9237" w:type="dxa"/>
            <w:tcBorders>
              <w:top w:val="single" w:sz="12" w:space="0" w:color="auto"/>
              <w:left w:val="single" w:sz="4" w:space="0" w:color="auto"/>
              <w:bottom w:val="single" w:sz="12" w:space="0" w:color="auto"/>
              <w:right w:val="single" w:sz="12" w:space="0" w:color="auto"/>
            </w:tcBorders>
          </w:tcPr>
          <w:p w14:paraId="6A1B18B8" w14:textId="77777777" w:rsidR="009E7B72" w:rsidRPr="00215AC5" w:rsidRDefault="009E7B72" w:rsidP="00C11013">
            <w:pPr>
              <w:rPr>
                <w:rFonts w:eastAsia="Calibri" w:cs="Times New Roman"/>
                <w:sz w:val="18"/>
                <w:szCs w:val="18"/>
              </w:rPr>
            </w:pPr>
            <w:r w:rsidRPr="00215AC5">
              <w:rPr>
                <w:rFonts w:eastAsia="Calibri" w:cs="Times New Roman"/>
                <w:sz w:val="18"/>
                <w:szCs w:val="18"/>
              </w:rPr>
              <w:t xml:space="preserve">Equities – Shares &amp; Depositary Receipts </w:t>
            </w:r>
          </w:p>
          <w:p w14:paraId="2C904AEF" w14:textId="77777777" w:rsidR="009E7B72" w:rsidRPr="00215AC5" w:rsidRDefault="009E7B72" w:rsidP="00C11013">
            <w:pPr>
              <w:rPr>
                <w:rFonts w:eastAsia="Calibri" w:cs="Times New Roman"/>
                <w:sz w:val="18"/>
                <w:szCs w:val="18"/>
              </w:rPr>
            </w:pPr>
            <w:r w:rsidRPr="00215AC5">
              <w:rPr>
                <w:rFonts w:eastAsia="Calibri" w:cs="Times New Roman"/>
                <w:sz w:val="18"/>
                <w:szCs w:val="18"/>
              </w:rPr>
              <w:t xml:space="preserve">Exchange traded products (Exchange traded funds, exchange traded notes and exchange traded commodities) </w:t>
            </w:r>
          </w:p>
          <w:p w14:paraId="36978D30" w14:textId="77777777" w:rsidR="009E7B72" w:rsidRPr="00215AC5" w:rsidRDefault="009E7B72" w:rsidP="00C11013">
            <w:pPr>
              <w:rPr>
                <w:rFonts w:eastAsia="Calibri" w:cs="Times New Roman"/>
                <w:color w:val="0000FF"/>
                <w:sz w:val="18"/>
                <w:szCs w:val="18"/>
              </w:rPr>
            </w:pPr>
            <w:r w:rsidRPr="00215AC5">
              <w:rPr>
                <w:rFonts w:eastAsia="Calibri" w:cs="Times New Roman"/>
                <w:sz w:val="18"/>
                <w:szCs w:val="18"/>
              </w:rPr>
              <w:t xml:space="preserve">Other instruments </w:t>
            </w:r>
          </w:p>
        </w:tc>
      </w:tr>
      <w:tr w:rsidR="009E7B72" w:rsidRPr="000D0F33" w14:paraId="4C3BFC57" w14:textId="77777777" w:rsidTr="00B21FEF">
        <w:tc>
          <w:tcPr>
            <w:tcW w:w="14400" w:type="dxa"/>
            <w:gridSpan w:val="2"/>
            <w:tcBorders>
              <w:top w:val="single" w:sz="12" w:space="0" w:color="auto"/>
              <w:left w:val="single" w:sz="12" w:space="0" w:color="auto"/>
              <w:right w:val="single" w:sz="12" w:space="0" w:color="auto"/>
            </w:tcBorders>
            <w:shd w:val="clear" w:color="auto" w:fill="D9D9D9"/>
          </w:tcPr>
          <w:p w14:paraId="5E6E6595" w14:textId="77777777" w:rsidR="009E7B72" w:rsidRPr="000D0F33" w:rsidRDefault="009E7B72" w:rsidP="00C11013">
            <w:pPr>
              <w:jc w:val="center"/>
              <w:rPr>
                <w:rFonts w:eastAsia="Calibri" w:cs="Times New Roman"/>
                <w:sz w:val="18"/>
                <w:szCs w:val="18"/>
              </w:rPr>
            </w:pPr>
            <w:r w:rsidRPr="000D0F33">
              <w:rPr>
                <w:rFonts w:eastAsia="Calibri" w:cs="Times New Roman"/>
                <w:sz w:val="18"/>
                <w:szCs w:val="18"/>
              </w:rPr>
              <w:t>Summary of Analysis</w:t>
            </w:r>
          </w:p>
        </w:tc>
      </w:tr>
      <w:tr w:rsidR="009E7B72" w:rsidRPr="000D0F33" w14:paraId="4B8A1243" w14:textId="77777777" w:rsidTr="00B21FEF">
        <w:tc>
          <w:tcPr>
            <w:tcW w:w="14400" w:type="dxa"/>
            <w:gridSpan w:val="2"/>
            <w:tcBorders>
              <w:left w:val="single" w:sz="12" w:space="0" w:color="auto"/>
              <w:right w:val="single" w:sz="12" w:space="0" w:color="auto"/>
            </w:tcBorders>
          </w:tcPr>
          <w:p w14:paraId="0D16337F" w14:textId="77777777" w:rsidR="0086254D" w:rsidRDefault="0086254D" w:rsidP="0086254D">
            <w:pPr>
              <w:rPr>
                <w:b/>
                <w:sz w:val="18"/>
                <w:szCs w:val="18"/>
                <w:u w:val="single"/>
              </w:rPr>
            </w:pPr>
            <w:r>
              <w:rPr>
                <w:b/>
                <w:sz w:val="18"/>
                <w:szCs w:val="18"/>
                <w:u w:val="single"/>
              </w:rPr>
              <w:t>J.P. Morgan SE: Fund Order Routing and Settlement Services business (“FORSS”):</w:t>
            </w:r>
          </w:p>
          <w:p w14:paraId="27C24383" w14:textId="3E62203D" w:rsidR="0086254D" w:rsidRDefault="0086254D" w:rsidP="0086254D">
            <w:pPr>
              <w:rPr>
                <w:sz w:val="18"/>
                <w:szCs w:val="18"/>
              </w:rPr>
            </w:pPr>
            <w:r>
              <w:rPr>
                <w:sz w:val="18"/>
                <w:szCs w:val="18"/>
              </w:rPr>
              <w:t xml:space="preserve">Within our fund order routing services product offering, currently an execution will arise on client instructions to subscribe for, or redeem, units in certain funds. In the year 2022, our review found the obligation of Best Execution was met in each case.  The application was monitored by J.P. Morgan on a regular basis, through post-trade controls performed by the business which were monitored at the relevant Securities Services Control forum. This monitoring identified execution situations which are potentially subject to Best Execution </w:t>
            </w:r>
            <w:proofErr w:type="gramStart"/>
            <w:r>
              <w:rPr>
                <w:sz w:val="18"/>
                <w:szCs w:val="18"/>
              </w:rPr>
              <w:t>and also</w:t>
            </w:r>
            <w:proofErr w:type="gramEnd"/>
            <w:r>
              <w:rPr>
                <w:sz w:val="18"/>
                <w:szCs w:val="18"/>
              </w:rPr>
              <w:t xml:space="preserve"> monitored the correct application of the decision-making process. </w:t>
            </w:r>
            <w:r w:rsidR="001D337C">
              <w:rPr>
                <w:color w:val="000000" w:themeColor="text1"/>
                <w:sz w:val="18"/>
                <w:szCs w:val="18"/>
              </w:rPr>
              <w:t>P</w:t>
            </w:r>
            <w:r w:rsidR="001D337C" w:rsidRPr="00132A75">
              <w:rPr>
                <w:color w:val="000000" w:themeColor="text1"/>
                <w:sz w:val="18"/>
                <w:szCs w:val="18"/>
              </w:rPr>
              <w:t>lease refer to</w:t>
            </w:r>
            <w:r w:rsidR="001D337C">
              <w:rPr>
                <w:color w:val="000000" w:themeColor="text1"/>
                <w:sz w:val="18"/>
                <w:szCs w:val="18"/>
              </w:rPr>
              <w:t xml:space="preserve"> </w:t>
            </w:r>
            <w:hyperlink r:id="rId7" w:history="1">
              <w:r w:rsidR="001D337C" w:rsidRPr="00293674">
                <w:rPr>
                  <w:rStyle w:val="Hyperlink"/>
                  <w:sz w:val="18"/>
                  <w:szCs w:val="18"/>
                </w:rPr>
                <w:t>J.P. Morgan EMEA Securities Services: Execution Policy Appendix 4</w:t>
              </w:r>
            </w:hyperlink>
            <w:r w:rsidR="001D337C">
              <w:rPr>
                <w:sz w:val="18"/>
                <w:szCs w:val="18"/>
              </w:rPr>
              <w:t>.  </w:t>
            </w:r>
          </w:p>
          <w:p w14:paraId="62A4D127" w14:textId="77777777" w:rsidR="0086254D" w:rsidRDefault="0086254D" w:rsidP="0086254D">
            <w:pPr>
              <w:rPr>
                <w:b/>
                <w:color w:val="000000" w:themeColor="text1"/>
                <w:sz w:val="18"/>
                <w:szCs w:val="18"/>
                <w:u w:val="single"/>
              </w:rPr>
            </w:pPr>
          </w:p>
          <w:p w14:paraId="67F8B9D4" w14:textId="77777777" w:rsidR="0086254D" w:rsidRPr="00D21158" w:rsidRDefault="0086254D" w:rsidP="0086254D">
            <w:pPr>
              <w:rPr>
                <w:b/>
                <w:sz w:val="18"/>
                <w:szCs w:val="18"/>
                <w:u w:val="single"/>
              </w:rPr>
            </w:pPr>
            <w:r>
              <w:rPr>
                <w:b/>
                <w:color w:val="000000" w:themeColor="text1"/>
                <w:sz w:val="18"/>
                <w:szCs w:val="18"/>
                <w:u w:val="single"/>
              </w:rPr>
              <w:t>J</w:t>
            </w:r>
            <w:r w:rsidRPr="00625958">
              <w:rPr>
                <w:b/>
                <w:color w:val="000000" w:themeColor="text1"/>
                <w:sz w:val="18"/>
                <w:szCs w:val="18"/>
                <w:u w:val="single"/>
              </w:rPr>
              <w:t xml:space="preserve">.P. Morgan </w:t>
            </w:r>
            <w:r>
              <w:rPr>
                <w:b/>
                <w:color w:val="000000" w:themeColor="text1"/>
                <w:sz w:val="18"/>
                <w:szCs w:val="18"/>
                <w:u w:val="single"/>
              </w:rPr>
              <w:t>SE</w:t>
            </w:r>
            <w:r w:rsidRPr="00D21158">
              <w:rPr>
                <w:b/>
                <w:sz w:val="18"/>
                <w:szCs w:val="18"/>
                <w:u w:val="single"/>
              </w:rPr>
              <w:t>: Liquidity Services (“Liquidity Services”):</w:t>
            </w:r>
          </w:p>
          <w:p w14:paraId="44F1D8C7" w14:textId="5A7D0CE8" w:rsidR="0086254D" w:rsidRDefault="0086254D" w:rsidP="0086254D">
            <w:pPr>
              <w:rPr>
                <w:bCs/>
                <w:sz w:val="18"/>
                <w:szCs w:val="18"/>
              </w:rPr>
            </w:pPr>
            <w:r w:rsidRPr="00C11013">
              <w:rPr>
                <w:bCs/>
                <w:color w:val="000000" w:themeColor="text1"/>
                <w:sz w:val="18"/>
                <w:szCs w:val="18"/>
              </w:rPr>
              <w:t>J.P. Morgan SE</w:t>
            </w:r>
            <w:r>
              <w:rPr>
                <w:bCs/>
                <w:color w:val="000000" w:themeColor="text1"/>
                <w:sz w:val="18"/>
                <w:szCs w:val="18"/>
              </w:rPr>
              <w:t xml:space="preserve"> </w:t>
            </w:r>
            <w:r w:rsidRPr="00C11013">
              <w:rPr>
                <w:bCs/>
                <w:sz w:val="18"/>
                <w:szCs w:val="18"/>
              </w:rPr>
              <w:t>provides its Securities Services clients with a market leading technology platform for automated investment of clients’ excess cash into money market funds. The automated investment is based on a client legal agreement which stipulates the investment rules, set by each client.  The daily automated subscriptions or redemptions into/from the chosen money market funds are performed based on these rules in conjunction with the clients’ cash account balances. During 202</w:t>
            </w:r>
            <w:r>
              <w:rPr>
                <w:bCs/>
                <w:sz w:val="18"/>
                <w:szCs w:val="18"/>
              </w:rPr>
              <w:t>2</w:t>
            </w:r>
            <w:r w:rsidRPr="00C11013">
              <w:rPr>
                <w:bCs/>
                <w:sz w:val="18"/>
                <w:szCs w:val="18"/>
              </w:rPr>
              <w:t xml:space="preserve"> there have not been any material incidents to jeopardise the </w:t>
            </w:r>
            <w:r w:rsidRPr="00C11013">
              <w:rPr>
                <w:bCs/>
                <w:color w:val="000000" w:themeColor="text1"/>
                <w:sz w:val="18"/>
                <w:szCs w:val="18"/>
              </w:rPr>
              <w:t>J.P. Morgan SE</w:t>
            </w:r>
            <w:r>
              <w:rPr>
                <w:bCs/>
                <w:sz w:val="18"/>
                <w:szCs w:val="18"/>
              </w:rPr>
              <w:t>’s</w:t>
            </w:r>
            <w:r w:rsidRPr="00C11013">
              <w:rPr>
                <w:bCs/>
                <w:sz w:val="18"/>
                <w:szCs w:val="18"/>
              </w:rPr>
              <w:t xml:space="preserve"> Best Execution obligations. Monitoring of execution and follow up reconciliation seek to ensure that speed of execution is maintained at the expected leve</w:t>
            </w:r>
            <w:r>
              <w:rPr>
                <w:bCs/>
                <w:sz w:val="18"/>
                <w:szCs w:val="18"/>
              </w:rPr>
              <w:t xml:space="preserve">l. </w:t>
            </w:r>
            <w:r w:rsidR="001D337C">
              <w:rPr>
                <w:color w:val="000000" w:themeColor="text1"/>
                <w:sz w:val="18"/>
                <w:szCs w:val="18"/>
              </w:rPr>
              <w:t>P</w:t>
            </w:r>
            <w:r w:rsidR="001D337C" w:rsidRPr="00132A75">
              <w:rPr>
                <w:color w:val="000000" w:themeColor="text1"/>
                <w:sz w:val="18"/>
                <w:szCs w:val="18"/>
              </w:rPr>
              <w:t>lease refer to</w:t>
            </w:r>
            <w:r w:rsidR="001D337C">
              <w:rPr>
                <w:color w:val="000000" w:themeColor="text1"/>
                <w:sz w:val="18"/>
                <w:szCs w:val="18"/>
              </w:rPr>
              <w:t xml:space="preserve"> </w:t>
            </w:r>
            <w:hyperlink r:id="rId8" w:history="1">
              <w:r w:rsidR="001D337C" w:rsidRPr="00293674">
                <w:rPr>
                  <w:rStyle w:val="Hyperlink"/>
                  <w:sz w:val="18"/>
                  <w:szCs w:val="18"/>
                </w:rPr>
                <w:t>J.P. Morgan EMEA Securities Services: Execution Policy Appendix 4</w:t>
              </w:r>
            </w:hyperlink>
            <w:r w:rsidR="001D337C">
              <w:rPr>
                <w:sz w:val="18"/>
                <w:szCs w:val="18"/>
              </w:rPr>
              <w:t>.  </w:t>
            </w:r>
          </w:p>
          <w:p w14:paraId="60751B6E" w14:textId="5BDE8A86" w:rsidR="0086254D" w:rsidRDefault="0086254D" w:rsidP="0086254D">
            <w:pPr>
              <w:rPr>
                <w:bCs/>
                <w:sz w:val="18"/>
                <w:szCs w:val="18"/>
              </w:rPr>
            </w:pPr>
          </w:p>
          <w:p w14:paraId="3DB9C7F8" w14:textId="59D5B22F" w:rsidR="005A22B3" w:rsidRDefault="008328DD" w:rsidP="005A22B3">
            <w:pPr>
              <w:rPr>
                <w:sz w:val="18"/>
                <w:szCs w:val="18"/>
              </w:rPr>
            </w:pPr>
            <w:r>
              <w:rPr>
                <w:b/>
                <w:bCs/>
                <w:sz w:val="18"/>
                <w:szCs w:val="18"/>
                <w:u w:val="single"/>
              </w:rPr>
              <w:t xml:space="preserve">Cash </w:t>
            </w:r>
            <w:r w:rsidR="005A22B3" w:rsidRPr="0085124E">
              <w:rPr>
                <w:b/>
                <w:bCs/>
                <w:sz w:val="18"/>
                <w:szCs w:val="18"/>
                <w:u w:val="single"/>
              </w:rPr>
              <w:t>Equiti</w:t>
            </w:r>
            <w:r>
              <w:rPr>
                <w:b/>
                <w:bCs/>
                <w:sz w:val="18"/>
                <w:szCs w:val="18"/>
                <w:u w:val="single"/>
              </w:rPr>
              <w:t>e</w:t>
            </w:r>
            <w:r w:rsidR="005A22B3" w:rsidRPr="0085124E">
              <w:rPr>
                <w:b/>
                <w:bCs/>
                <w:sz w:val="18"/>
                <w:szCs w:val="18"/>
                <w:u w:val="single"/>
              </w:rPr>
              <w:t>s</w:t>
            </w:r>
            <w:r w:rsidR="005A22B3" w:rsidRPr="0085124E">
              <w:rPr>
                <w:b/>
                <w:bCs/>
                <w:sz w:val="18"/>
                <w:szCs w:val="18"/>
              </w:rPr>
              <w:t>:</w:t>
            </w:r>
            <w:r w:rsidR="005A22B3">
              <w:rPr>
                <w:sz w:val="18"/>
                <w:szCs w:val="18"/>
              </w:rPr>
              <w:t xml:space="preserve"> </w:t>
            </w:r>
          </w:p>
          <w:p w14:paraId="0375152B" w14:textId="77777777" w:rsidR="005A22B3" w:rsidRPr="0086254D" w:rsidRDefault="005A22B3" w:rsidP="0086254D">
            <w:pPr>
              <w:rPr>
                <w:bCs/>
                <w:sz w:val="18"/>
                <w:szCs w:val="18"/>
              </w:rPr>
            </w:pPr>
          </w:p>
          <w:p w14:paraId="344C6F12" w14:textId="4A9EB0CF" w:rsidR="009E7B72" w:rsidRPr="000D0F33" w:rsidRDefault="009E7B72" w:rsidP="00C11013">
            <w:pPr>
              <w:spacing w:after="200" w:line="276" w:lineRule="auto"/>
              <w:rPr>
                <w:sz w:val="18"/>
                <w:szCs w:val="18"/>
                <w:u w:val="single"/>
              </w:rPr>
            </w:pPr>
            <w:r w:rsidRPr="000D0F33">
              <w:rPr>
                <w:sz w:val="18"/>
                <w:szCs w:val="18"/>
                <w:u w:val="single"/>
              </w:rPr>
              <w:t>Execution Venue Performance:</w:t>
            </w:r>
          </w:p>
          <w:p w14:paraId="734DDABB" w14:textId="77777777" w:rsidR="009E7B72" w:rsidRDefault="009E7B72" w:rsidP="00C11013">
            <w:pPr>
              <w:spacing w:after="200" w:line="276" w:lineRule="auto"/>
              <w:ind w:left="360"/>
              <w:rPr>
                <w:sz w:val="18"/>
                <w:szCs w:val="18"/>
              </w:rPr>
            </w:pPr>
            <w:r>
              <w:rPr>
                <w:sz w:val="18"/>
                <w:szCs w:val="18"/>
              </w:rPr>
              <w:t xml:space="preserve">In 2022, J.P. Morgan SE primarily accessed execution venues for securities where the primary listing was held on an EEA-domiciled primary exchange.  </w:t>
            </w:r>
          </w:p>
          <w:p w14:paraId="0CCD25EF" w14:textId="77777777" w:rsidR="009E7B72" w:rsidRPr="000D0F33" w:rsidRDefault="009E7B72" w:rsidP="00C11013">
            <w:pPr>
              <w:spacing w:after="200" w:line="276" w:lineRule="auto"/>
              <w:ind w:left="360"/>
              <w:rPr>
                <w:sz w:val="18"/>
                <w:szCs w:val="18"/>
              </w:rPr>
            </w:pPr>
            <w:r w:rsidRPr="000D0F33">
              <w:rPr>
                <w:sz w:val="18"/>
                <w:szCs w:val="18"/>
              </w:rPr>
              <w:t xml:space="preserve">J.P. Morgan </w:t>
            </w:r>
            <w:r>
              <w:rPr>
                <w:sz w:val="18"/>
                <w:szCs w:val="18"/>
              </w:rPr>
              <w:t>SE</w:t>
            </w:r>
            <w:r w:rsidRPr="000D0F33">
              <w:rPr>
                <w:sz w:val="18"/>
                <w:szCs w:val="18"/>
              </w:rPr>
              <w:t xml:space="preserve"> monitored a number of performance factors in relation to the venues listed within Appendix </w:t>
            </w:r>
            <w:r>
              <w:rPr>
                <w:sz w:val="18"/>
                <w:szCs w:val="18"/>
              </w:rPr>
              <w:t>A</w:t>
            </w:r>
            <w:r w:rsidRPr="000D0F33">
              <w:rPr>
                <w:sz w:val="18"/>
                <w:szCs w:val="18"/>
              </w:rPr>
              <w:t xml:space="preserve"> of the </w:t>
            </w:r>
            <w:hyperlink r:id="rId9" w:history="1">
              <w:r w:rsidRPr="00976F08">
                <w:rPr>
                  <w:rStyle w:val="Hyperlink"/>
                  <w:sz w:val="18"/>
                  <w:szCs w:val="18"/>
                </w:rPr>
                <w:t>J.P. Morgan Cash Equities Execution Policy</w:t>
              </w:r>
            </w:hyperlink>
            <w:r>
              <w:rPr>
                <w:sz w:val="18"/>
                <w:szCs w:val="18"/>
              </w:rPr>
              <w:t xml:space="preserve">.  </w:t>
            </w:r>
            <w:r w:rsidRPr="000D0F33">
              <w:rPr>
                <w:sz w:val="18"/>
                <w:szCs w:val="18"/>
              </w:rPr>
              <w:t>The factors reviewed together with the key observations made are as follows:</w:t>
            </w:r>
          </w:p>
          <w:p w14:paraId="3534E7D0" w14:textId="77777777" w:rsidR="009E7B72" w:rsidRPr="000D0F33" w:rsidRDefault="009E7B72" w:rsidP="00C11013">
            <w:pPr>
              <w:spacing w:after="200" w:line="276" w:lineRule="auto"/>
              <w:ind w:left="360"/>
              <w:rPr>
                <w:b/>
                <w:sz w:val="18"/>
                <w:szCs w:val="18"/>
              </w:rPr>
            </w:pPr>
            <w:r w:rsidRPr="000D0F33">
              <w:rPr>
                <w:b/>
                <w:sz w:val="18"/>
                <w:szCs w:val="18"/>
              </w:rPr>
              <w:t xml:space="preserve">Access to Liquidity </w:t>
            </w:r>
          </w:p>
          <w:p w14:paraId="49ADF3EC" w14:textId="77777777" w:rsidR="009E7B72" w:rsidRPr="000D0F33" w:rsidRDefault="009E7B72" w:rsidP="00C11013">
            <w:pPr>
              <w:spacing w:after="200" w:line="276" w:lineRule="auto"/>
              <w:ind w:left="720"/>
              <w:rPr>
                <w:sz w:val="18"/>
                <w:szCs w:val="18"/>
              </w:rPr>
            </w:pPr>
            <w:r w:rsidRPr="000D0F33">
              <w:rPr>
                <w:sz w:val="18"/>
                <w:szCs w:val="18"/>
                <w:u w:val="single"/>
              </w:rPr>
              <w:t>Conventional Displayed Trading Venues:</w:t>
            </w:r>
            <w:r w:rsidRPr="000D0F33">
              <w:rPr>
                <w:sz w:val="18"/>
                <w:szCs w:val="18"/>
              </w:rPr>
              <w:t xml:space="preserve"> In line with our execution policy, we maintained access to the primary market for securities in which we act as the executing broker.  Additionally, we maintained access to the following significant pan-European multilateral trading facilities (MTFs</w:t>
            </w:r>
            <w:r w:rsidRPr="00052E11">
              <w:rPr>
                <w:sz w:val="18"/>
                <w:szCs w:val="18"/>
              </w:rPr>
              <w:t xml:space="preserve">):  CBOE, Turquoise, and </w:t>
            </w:r>
            <w:proofErr w:type="spellStart"/>
            <w:r w:rsidRPr="00052E11">
              <w:rPr>
                <w:sz w:val="18"/>
                <w:szCs w:val="18"/>
              </w:rPr>
              <w:t>Aquis</w:t>
            </w:r>
            <w:proofErr w:type="spellEnd"/>
            <w:r w:rsidRPr="00052E11">
              <w:rPr>
                <w:sz w:val="18"/>
                <w:szCs w:val="18"/>
              </w:rPr>
              <w:t>.</w:t>
            </w:r>
            <w:r w:rsidRPr="000D0F33">
              <w:rPr>
                <w:sz w:val="18"/>
                <w:szCs w:val="18"/>
              </w:rPr>
              <w:t xml:space="preserve">  In combination, these venues provide access to over 9</w:t>
            </w:r>
            <w:r>
              <w:rPr>
                <w:sz w:val="18"/>
                <w:szCs w:val="18"/>
              </w:rPr>
              <w:t>5</w:t>
            </w:r>
            <w:r w:rsidRPr="000D0F33">
              <w:rPr>
                <w:sz w:val="18"/>
                <w:szCs w:val="18"/>
              </w:rPr>
              <w:t>% of displayed liquidity in the relevant markets.</w:t>
            </w:r>
          </w:p>
          <w:p w14:paraId="31738B03" w14:textId="77777777" w:rsidR="009E7B72" w:rsidRPr="000D0F33" w:rsidRDefault="009E7B72" w:rsidP="00C11013">
            <w:pPr>
              <w:spacing w:after="200" w:line="276" w:lineRule="auto"/>
              <w:ind w:left="720"/>
              <w:rPr>
                <w:sz w:val="18"/>
                <w:szCs w:val="18"/>
              </w:rPr>
            </w:pPr>
            <w:proofErr w:type="gramStart"/>
            <w:r w:rsidRPr="000D0F33">
              <w:rPr>
                <w:sz w:val="18"/>
                <w:szCs w:val="18"/>
                <w:u w:val="single"/>
              </w:rPr>
              <w:t>Non Displayed</w:t>
            </w:r>
            <w:proofErr w:type="gramEnd"/>
            <w:r w:rsidRPr="000D0F33">
              <w:rPr>
                <w:sz w:val="18"/>
                <w:szCs w:val="18"/>
                <w:u w:val="single"/>
              </w:rPr>
              <w:t>, Periodic Auction and other Execution Venues:</w:t>
            </w:r>
            <w:r w:rsidRPr="000D0F33">
              <w:rPr>
                <w:sz w:val="18"/>
                <w:szCs w:val="18"/>
              </w:rPr>
              <w:t xml:space="preserve">  In </w:t>
            </w:r>
            <w:r>
              <w:rPr>
                <w:sz w:val="18"/>
                <w:szCs w:val="18"/>
              </w:rPr>
              <w:t>2022</w:t>
            </w:r>
            <w:r w:rsidRPr="000D0F33">
              <w:rPr>
                <w:sz w:val="18"/>
                <w:szCs w:val="18"/>
              </w:rPr>
              <w:t xml:space="preserve">, we added additional venues to </w:t>
            </w:r>
            <w:r>
              <w:rPr>
                <w:sz w:val="18"/>
                <w:szCs w:val="18"/>
              </w:rPr>
              <w:t xml:space="preserve">enhance our liquidity access.  </w:t>
            </w:r>
            <w:r w:rsidRPr="00A4094E">
              <w:rPr>
                <w:sz w:val="18"/>
                <w:szCs w:val="18"/>
              </w:rPr>
              <w:t>The individual venues</w:t>
            </w:r>
            <w:r>
              <w:rPr>
                <w:sz w:val="18"/>
                <w:szCs w:val="18"/>
              </w:rPr>
              <w:t xml:space="preserve"> added</w:t>
            </w:r>
            <w:r w:rsidRPr="00A4094E">
              <w:rPr>
                <w:sz w:val="18"/>
                <w:szCs w:val="18"/>
              </w:rPr>
              <w:t xml:space="preserve"> are summarised on the following pages.</w:t>
            </w:r>
          </w:p>
          <w:p w14:paraId="38A8C99B" w14:textId="1724DD6F" w:rsidR="009E7B72" w:rsidRPr="000D0F33" w:rsidRDefault="009E7B72" w:rsidP="00C11013">
            <w:pPr>
              <w:spacing w:after="200" w:line="276" w:lineRule="auto"/>
              <w:ind w:left="360"/>
              <w:rPr>
                <w:b/>
                <w:sz w:val="18"/>
                <w:szCs w:val="18"/>
              </w:rPr>
            </w:pPr>
            <w:r w:rsidRPr="000D0F33">
              <w:rPr>
                <w:b/>
                <w:sz w:val="18"/>
                <w:szCs w:val="18"/>
              </w:rPr>
              <w:lastRenderedPageBreak/>
              <w:t>Pricing Analysis and Performance</w:t>
            </w:r>
          </w:p>
          <w:p w14:paraId="3E4B1F24" w14:textId="77777777" w:rsidR="009E7B72" w:rsidRPr="000D0F33" w:rsidRDefault="009E7B72" w:rsidP="00C11013">
            <w:pPr>
              <w:spacing w:after="200" w:line="276" w:lineRule="auto"/>
              <w:ind w:left="720"/>
              <w:rPr>
                <w:b/>
                <w:sz w:val="18"/>
                <w:szCs w:val="18"/>
              </w:rPr>
            </w:pPr>
            <w:r w:rsidRPr="000D0F33">
              <w:rPr>
                <w:sz w:val="18"/>
                <w:szCs w:val="18"/>
                <w:u w:val="single"/>
              </w:rPr>
              <w:t>Conventional Displayed Trading Venues:</w:t>
            </w:r>
            <w:r w:rsidRPr="000D0F33">
              <w:rPr>
                <w:sz w:val="18"/>
                <w:szCs w:val="18"/>
              </w:rPr>
              <w:t xml:space="preserve"> </w:t>
            </w:r>
            <w:r w:rsidRPr="000D0F33">
              <w:rPr>
                <w:b/>
                <w:sz w:val="18"/>
                <w:szCs w:val="18"/>
              </w:rPr>
              <w:t xml:space="preserve">  </w:t>
            </w:r>
          </w:p>
          <w:p w14:paraId="62F68E21" w14:textId="77777777" w:rsidR="009E7B72" w:rsidRPr="000D0F33" w:rsidRDefault="009E7B72" w:rsidP="00C11013">
            <w:pPr>
              <w:spacing w:after="200" w:line="276" w:lineRule="auto"/>
              <w:ind w:left="720"/>
              <w:rPr>
                <w:sz w:val="18"/>
                <w:szCs w:val="18"/>
              </w:rPr>
            </w:pPr>
            <w:r w:rsidRPr="000D0F33">
              <w:rPr>
                <w:sz w:val="18"/>
                <w:szCs w:val="18"/>
              </w:rPr>
              <w:t xml:space="preserve">We maintain measures of </w:t>
            </w:r>
            <w:r w:rsidRPr="000D0F33">
              <w:rPr>
                <w:i/>
                <w:sz w:val="18"/>
                <w:szCs w:val="18"/>
              </w:rPr>
              <w:t>price improvement</w:t>
            </w:r>
            <w:r w:rsidRPr="000D0F33">
              <w:rPr>
                <w:sz w:val="18"/>
                <w:szCs w:val="18"/>
              </w:rPr>
              <w:t xml:space="preserve"> that indicate the extent to which a trade performed on a given venue provides a better price than that available on the primary market at the time of trading.  These metrics indicated that material price improvement was obtained </w:t>
            </w:r>
            <w:proofErr w:type="gramStart"/>
            <w:r w:rsidRPr="000D0F33">
              <w:rPr>
                <w:sz w:val="18"/>
                <w:szCs w:val="18"/>
              </w:rPr>
              <w:t>as a result of</w:t>
            </w:r>
            <w:proofErr w:type="gramEnd"/>
            <w:r w:rsidRPr="000D0F33">
              <w:rPr>
                <w:sz w:val="18"/>
                <w:szCs w:val="18"/>
              </w:rPr>
              <w:t xml:space="preserve"> transactions performed on CBOE, Turquoise and </w:t>
            </w:r>
            <w:proofErr w:type="spellStart"/>
            <w:r w:rsidRPr="000D0F33">
              <w:rPr>
                <w:sz w:val="18"/>
                <w:szCs w:val="18"/>
              </w:rPr>
              <w:t>Aquis</w:t>
            </w:r>
            <w:proofErr w:type="spellEnd"/>
            <w:r w:rsidRPr="000D0F33">
              <w:rPr>
                <w:sz w:val="18"/>
                <w:szCs w:val="18"/>
              </w:rPr>
              <w:t xml:space="preserve">.   The metrics observed over </w:t>
            </w:r>
            <w:r>
              <w:rPr>
                <w:sz w:val="18"/>
                <w:szCs w:val="18"/>
              </w:rPr>
              <w:t>2022</w:t>
            </w:r>
            <w:r w:rsidRPr="000D0F33">
              <w:rPr>
                <w:sz w:val="18"/>
                <w:szCs w:val="18"/>
              </w:rPr>
              <w:t xml:space="preserve"> indicate both that the venues themselves provide price improvement opportunities and that our routing practices are successfully identifying those opportunities.  Average price improvement observed across CBOE, Turquoise and </w:t>
            </w:r>
            <w:proofErr w:type="spellStart"/>
            <w:r w:rsidRPr="000D0F33">
              <w:rPr>
                <w:sz w:val="18"/>
                <w:szCs w:val="18"/>
              </w:rPr>
              <w:t>Aquis</w:t>
            </w:r>
            <w:proofErr w:type="spellEnd"/>
            <w:r w:rsidRPr="000D0F33">
              <w:rPr>
                <w:sz w:val="18"/>
                <w:szCs w:val="18"/>
              </w:rPr>
              <w:t xml:space="preserve"> venues ranged from</w:t>
            </w:r>
            <w:r w:rsidRPr="004643FE">
              <w:rPr>
                <w:sz w:val="18"/>
                <w:szCs w:val="18"/>
              </w:rPr>
              <w:t xml:space="preserve"> 1.57-2.09 basis </w:t>
            </w:r>
            <w:r w:rsidRPr="000D0F33">
              <w:rPr>
                <w:sz w:val="18"/>
                <w:szCs w:val="18"/>
              </w:rPr>
              <w:t>points</w:t>
            </w:r>
            <w:r>
              <w:rPr>
                <w:sz w:val="18"/>
                <w:szCs w:val="18"/>
              </w:rPr>
              <w:t xml:space="preserve"> (bps)</w:t>
            </w:r>
            <w:r w:rsidRPr="000D0F33">
              <w:rPr>
                <w:sz w:val="18"/>
                <w:szCs w:val="18"/>
              </w:rPr>
              <w:t>.</w:t>
            </w:r>
          </w:p>
          <w:p w14:paraId="27B770F7" w14:textId="77777777" w:rsidR="009E7B72" w:rsidRPr="000D0F33" w:rsidRDefault="009E7B72" w:rsidP="00C11013">
            <w:pPr>
              <w:spacing w:after="200" w:line="276" w:lineRule="auto"/>
              <w:ind w:left="720"/>
              <w:rPr>
                <w:b/>
                <w:sz w:val="18"/>
                <w:szCs w:val="18"/>
              </w:rPr>
            </w:pPr>
            <w:r w:rsidRPr="000D0F33">
              <w:rPr>
                <w:sz w:val="18"/>
                <w:szCs w:val="18"/>
                <w:u w:val="single"/>
              </w:rPr>
              <w:t xml:space="preserve">Systematic Internalisers: </w:t>
            </w:r>
            <w:r w:rsidRPr="000D0F33">
              <w:rPr>
                <w:b/>
                <w:sz w:val="18"/>
                <w:szCs w:val="18"/>
              </w:rPr>
              <w:t xml:space="preserve"> </w:t>
            </w:r>
          </w:p>
          <w:p w14:paraId="43757990" w14:textId="77777777" w:rsidR="009E7B72" w:rsidRPr="000D0F33" w:rsidRDefault="009E7B72" w:rsidP="00C11013">
            <w:pPr>
              <w:spacing w:after="200" w:line="276" w:lineRule="auto"/>
              <w:ind w:left="720"/>
              <w:rPr>
                <w:sz w:val="18"/>
                <w:szCs w:val="18"/>
              </w:rPr>
            </w:pPr>
            <w:r w:rsidRPr="008F74E1">
              <w:rPr>
                <w:sz w:val="18"/>
                <w:szCs w:val="18"/>
              </w:rPr>
              <w:t>Electronic Liquidity Providers (ELPs):</w:t>
            </w:r>
            <w:r w:rsidRPr="000D0F33">
              <w:rPr>
                <w:sz w:val="18"/>
                <w:szCs w:val="18"/>
              </w:rPr>
              <w:t xml:space="preserve">  In </w:t>
            </w:r>
            <w:r>
              <w:rPr>
                <w:sz w:val="18"/>
                <w:szCs w:val="18"/>
              </w:rPr>
              <w:t>2022</w:t>
            </w:r>
            <w:r w:rsidRPr="000D0F33">
              <w:rPr>
                <w:sz w:val="18"/>
                <w:szCs w:val="18"/>
              </w:rPr>
              <w:t>, we observed price improvement (measured as a percentage of the spread</w:t>
            </w:r>
            <w:r w:rsidRPr="006814E3">
              <w:rPr>
                <w:sz w:val="18"/>
                <w:szCs w:val="18"/>
              </w:rPr>
              <w:t xml:space="preserve">) of </w:t>
            </w:r>
            <w:r w:rsidRPr="004643FE">
              <w:rPr>
                <w:bCs/>
                <w:sz w:val="18"/>
                <w:szCs w:val="18"/>
              </w:rPr>
              <w:t xml:space="preserve">7.48%.  </w:t>
            </w:r>
            <w:r w:rsidRPr="000D0F33">
              <w:rPr>
                <w:sz w:val="18"/>
                <w:szCs w:val="18"/>
              </w:rPr>
              <w:t xml:space="preserve">We also observed </w:t>
            </w:r>
            <w:r>
              <w:rPr>
                <w:sz w:val="18"/>
                <w:szCs w:val="18"/>
              </w:rPr>
              <w:t>smaller</w:t>
            </w:r>
            <w:r w:rsidRPr="000D0F33">
              <w:rPr>
                <w:sz w:val="18"/>
                <w:szCs w:val="18"/>
              </w:rPr>
              <w:t xml:space="preserve"> adverse movements in the market (market impact) following executions conducted with ELP</w:t>
            </w:r>
            <w:r>
              <w:rPr>
                <w:sz w:val="18"/>
                <w:szCs w:val="18"/>
              </w:rPr>
              <w:t xml:space="preserve">s </w:t>
            </w:r>
            <w:r w:rsidRPr="005325C1">
              <w:rPr>
                <w:sz w:val="18"/>
                <w:szCs w:val="18"/>
              </w:rPr>
              <w:t>compared to executions on conventional displayed trading venues.</w:t>
            </w:r>
          </w:p>
          <w:p w14:paraId="0CC56E3F" w14:textId="77777777" w:rsidR="009E7B72" w:rsidRPr="000D0F33" w:rsidRDefault="009E7B72" w:rsidP="00C11013">
            <w:pPr>
              <w:spacing w:after="200" w:line="276" w:lineRule="auto"/>
              <w:ind w:left="720"/>
              <w:rPr>
                <w:b/>
                <w:sz w:val="18"/>
                <w:szCs w:val="18"/>
              </w:rPr>
            </w:pPr>
            <w:r w:rsidRPr="000D0F33">
              <w:rPr>
                <w:sz w:val="18"/>
                <w:szCs w:val="18"/>
              </w:rPr>
              <w:t xml:space="preserve">J.P. Morgan Venues: Our own Systematic Internaliser was our largest venue of execution by value in </w:t>
            </w:r>
            <w:r>
              <w:rPr>
                <w:sz w:val="18"/>
                <w:szCs w:val="18"/>
              </w:rPr>
              <w:t>2022</w:t>
            </w:r>
            <w:r w:rsidRPr="000D0F33">
              <w:rPr>
                <w:sz w:val="18"/>
                <w:szCs w:val="18"/>
              </w:rPr>
              <w:t xml:space="preserve">.    We observed an average price improvement </w:t>
            </w:r>
            <w:r w:rsidRPr="007E0FA4">
              <w:rPr>
                <w:sz w:val="18"/>
                <w:szCs w:val="18"/>
              </w:rPr>
              <w:t xml:space="preserve">of </w:t>
            </w:r>
            <w:r w:rsidRPr="004643FE">
              <w:rPr>
                <w:bCs/>
                <w:sz w:val="18"/>
                <w:szCs w:val="18"/>
              </w:rPr>
              <w:t>2.8 bps / 48.68%</w:t>
            </w:r>
            <w:r>
              <w:rPr>
                <w:sz w:val="18"/>
                <w:szCs w:val="18"/>
              </w:rPr>
              <w:t xml:space="preserve"> of spread </w:t>
            </w:r>
            <w:r w:rsidRPr="000D0F33">
              <w:rPr>
                <w:sz w:val="18"/>
                <w:szCs w:val="18"/>
              </w:rPr>
              <w:t xml:space="preserve">over the course of </w:t>
            </w:r>
            <w:r>
              <w:rPr>
                <w:sz w:val="18"/>
                <w:szCs w:val="18"/>
              </w:rPr>
              <w:t>2022</w:t>
            </w:r>
            <w:r w:rsidRPr="000D0F33">
              <w:rPr>
                <w:sz w:val="18"/>
                <w:szCs w:val="18"/>
              </w:rPr>
              <w:t>.</w:t>
            </w:r>
          </w:p>
          <w:p w14:paraId="0D230DB4" w14:textId="6AB1CC6F" w:rsidR="009E7B72" w:rsidRPr="000D0F33" w:rsidRDefault="009E7B72" w:rsidP="00C11013">
            <w:pPr>
              <w:spacing w:after="200" w:line="276" w:lineRule="auto"/>
              <w:ind w:left="360"/>
              <w:rPr>
                <w:sz w:val="18"/>
                <w:szCs w:val="18"/>
              </w:rPr>
            </w:pPr>
            <w:r w:rsidRPr="000D0F33">
              <w:rPr>
                <w:b/>
                <w:sz w:val="18"/>
                <w:szCs w:val="18"/>
              </w:rPr>
              <w:t>Latency and Fill Rates (</w:t>
            </w:r>
            <w:r w:rsidRPr="000D0F33">
              <w:rPr>
                <w:sz w:val="18"/>
                <w:szCs w:val="18"/>
                <w:u w:val="single"/>
              </w:rPr>
              <w:t xml:space="preserve">Applicable to Conventional Displayed Trading Venues </w:t>
            </w:r>
            <w:proofErr w:type="gramStart"/>
            <w:r w:rsidRPr="000D0F33">
              <w:rPr>
                <w:sz w:val="18"/>
                <w:szCs w:val="18"/>
                <w:u w:val="single"/>
              </w:rPr>
              <w:t>Only)</w:t>
            </w:r>
            <w:r w:rsidRPr="000D0F33">
              <w:rPr>
                <w:b/>
                <w:sz w:val="18"/>
                <w:szCs w:val="18"/>
              </w:rPr>
              <w:t xml:space="preserve"> </w:t>
            </w:r>
            <w:r w:rsidR="00DC5BCA">
              <w:rPr>
                <w:b/>
                <w:sz w:val="18"/>
                <w:szCs w:val="18"/>
              </w:rPr>
              <w:t xml:space="preserve"> </w:t>
            </w:r>
            <w:r w:rsidRPr="000D0F33">
              <w:rPr>
                <w:sz w:val="18"/>
                <w:szCs w:val="18"/>
              </w:rPr>
              <w:t>This</w:t>
            </w:r>
            <w:proofErr w:type="gramEnd"/>
            <w:r w:rsidRPr="000D0F33">
              <w:rPr>
                <w:sz w:val="18"/>
                <w:szCs w:val="18"/>
              </w:rPr>
              <w:t xml:space="preserve"> relates to the ability of our systems to reliably access displayed liquidity.  This performance factor reflects that of our own systems as well as those of the venue itself and its physical location.</w:t>
            </w:r>
          </w:p>
          <w:p w14:paraId="14D16951" w14:textId="77777777" w:rsidR="009E7B72" w:rsidRPr="000D0F33" w:rsidRDefault="009E7B72" w:rsidP="00C11013">
            <w:pPr>
              <w:spacing w:after="200" w:line="276" w:lineRule="auto"/>
              <w:ind w:left="720"/>
              <w:rPr>
                <w:sz w:val="18"/>
                <w:szCs w:val="18"/>
              </w:rPr>
            </w:pPr>
            <w:r w:rsidRPr="000D0F33">
              <w:rPr>
                <w:b/>
                <w:sz w:val="18"/>
                <w:szCs w:val="18"/>
              </w:rPr>
              <w:t xml:space="preserve">Market access </w:t>
            </w:r>
            <w:proofErr w:type="gramStart"/>
            <w:r w:rsidRPr="000D0F33">
              <w:rPr>
                <w:b/>
                <w:sz w:val="18"/>
                <w:szCs w:val="18"/>
              </w:rPr>
              <w:t>latencies:</w:t>
            </w:r>
            <w:proofErr w:type="gramEnd"/>
            <w:r w:rsidRPr="000D0F33">
              <w:rPr>
                <w:sz w:val="18"/>
                <w:szCs w:val="18"/>
              </w:rPr>
              <w:t xml:space="preserve"> were largely driven by the location of a trading venue’s datacentre: Based on </w:t>
            </w:r>
            <w:r>
              <w:rPr>
                <w:sz w:val="18"/>
                <w:szCs w:val="18"/>
              </w:rPr>
              <w:t>Q1 2023</w:t>
            </w:r>
            <w:r w:rsidRPr="000D0F33">
              <w:rPr>
                <w:sz w:val="18"/>
                <w:szCs w:val="18"/>
              </w:rPr>
              <w:t xml:space="preserve"> data, U.K.-based displayed venues exhibited median </w:t>
            </w:r>
            <w:r>
              <w:rPr>
                <w:sz w:val="18"/>
                <w:szCs w:val="18"/>
              </w:rPr>
              <w:t xml:space="preserve">round-trip </w:t>
            </w:r>
            <w:r w:rsidRPr="000D0F33">
              <w:rPr>
                <w:sz w:val="18"/>
                <w:szCs w:val="18"/>
              </w:rPr>
              <w:t xml:space="preserve">times ranging from </w:t>
            </w:r>
            <w:r w:rsidRPr="00557DCC">
              <w:rPr>
                <w:bCs/>
                <w:sz w:val="18"/>
                <w:szCs w:val="18"/>
              </w:rPr>
              <w:t xml:space="preserve">0.04 – 0.58 </w:t>
            </w:r>
            <w:r w:rsidRPr="000D0F33">
              <w:rPr>
                <w:sz w:val="18"/>
                <w:szCs w:val="18"/>
              </w:rPr>
              <w:t xml:space="preserve">milliseconds.  </w:t>
            </w:r>
            <w:r>
              <w:rPr>
                <w:sz w:val="18"/>
                <w:szCs w:val="18"/>
              </w:rPr>
              <w:t xml:space="preserve">In addition, round-trip </w:t>
            </w:r>
            <w:r w:rsidRPr="000D0F33">
              <w:rPr>
                <w:sz w:val="18"/>
                <w:szCs w:val="18"/>
              </w:rPr>
              <w:t xml:space="preserve">times exhibited by venues based in continental datacentres ranged </w:t>
            </w:r>
            <w:r w:rsidRPr="00052E11">
              <w:rPr>
                <w:sz w:val="18"/>
                <w:szCs w:val="18"/>
              </w:rPr>
              <w:t>from 8.96 – 23.99 milliseconds.</w:t>
            </w:r>
          </w:p>
          <w:p w14:paraId="6DBB7526" w14:textId="41FCA640" w:rsidR="009E7B72" w:rsidRPr="00DC5BCA" w:rsidRDefault="009E7B72" w:rsidP="00DC5BCA">
            <w:pPr>
              <w:spacing w:after="200" w:line="276" w:lineRule="auto"/>
              <w:ind w:left="720"/>
              <w:rPr>
                <w:b/>
                <w:sz w:val="18"/>
                <w:szCs w:val="18"/>
              </w:rPr>
            </w:pPr>
            <w:r w:rsidRPr="000D0F33">
              <w:rPr>
                <w:b/>
                <w:sz w:val="18"/>
                <w:szCs w:val="18"/>
              </w:rPr>
              <w:t xml:space="preserve">Fill rates: </w:t>
            </w:r>
            <w:r w:rsidRPr="000D0F33">
              <w:rPr>
                <w:sz w:val="18"/>
                <w:szCs w:val="18"/>
              </w:rPr>
              <w:t xml:space="preserve">weighted average </w:t>
            </w:r>
            <w:r w:rsidRPr="000D0F33">
              <w:rPr>
                <w:i/>
                <w:sz w:val="18"/>
                <w:szCs w:val="18"/>
              </w:rPr>
              <w:t>fill rates</w:t>
            </w:r>
            <w:r w:rsidRPr="000D0F33">
              <w:rPr>
                <w:sz w:val="18"/>
                <w:szCs w:val="18"/>
                <w:vertAlign w:val="superscript"/>
              </w:rPr>
              <w:footnoteReference w:id="1"/>
            </w:r>
            <w:r w:rsidRPr="000D0F33">
              <w:rPr>
                <w:sz w:val="18"/>
                <w:szCs w:val="18"/>
              </w:rPr>
              <w:t xml:space="preserve"> obtained across lit venues for immediate or cancelled (IOC) orders were </w:t>
            </w:r>
            <w:r w:rsidRPr="004643FE">
              <w:rPr>
                <w:bCs/>
                <w:sz w:val="18"/>
                <w:szCs w:val="18"/>
              </w:rPr>
              <w:t>90.8</w:t>
            </w:r>
            <w:r w:rsidRPr="00BA3517">
              <w:rPr>
                <w:sz w:val="18"/>
                <w:szCs w:val="18"/>
              </w:rPr>
              <w:t xml:space="preserve">% when sending orders to individual venues and </w:t>
            </w:r>
            <w:r w:rsidRPr="004643FE">
              <w:rPr>
                <w:bCs/>
                <w:sz w:val="18"/>
                <w:szCs w:val="18"/>
              </w:rPr>
              <w:t>86.4</w:t>
            </w:r>
            <w:r w:rsidRPr="00BA3517">
              <w:rPr>
                <w:sz w:val="18"/>
                <w:szCs w:val="18"/>
              </w:rPr>
              <w:t>%</w:t>
            </w:r>
            <w:r w:rsidRPr="000D0F33">
              <w:rPr>
                <w:sz w:val="18"/>
                <w:szCs w:val="18"/>
              </w:rPr>
              <w:t xml:space="preserve"> when sending orders to multiple venues within a single routing decision.  From these data, we conclude that we </w:t>
            </w:r>
            <w:proofErr w:type="gramStart"/>
            <w:r w:rsidRPr="000D0F33">
              <w:rPr>
                <w:sz w:val="18"/>
                <w:szCs w:val="18"/>
              </w:rPr>
              <w:t>are able to</w:t>
            </w:r>
            <w:proofErr w:type="gramEnd"/>
            <w:r w:rsidRPr="000D0F33">
              <w:rPr>
                <w:sz w:val="18"/>
                <w:szCs w:val="18"/>
              </w:rPr>
              <w:t xml:space="preserve"> reliably capture the liquidity displayed to us by these trading venues.</w:t>
            </w:r>
          </w:p>
        </w:tc>
      </w:tr>
    </w:tbl>
    <w:tbl>
      <w:tblPr>
        <w:tblStyle w:val="TableGrid1"/>
        <w:tblW w:w="14400" w:type="dxa"/>
        <w:tblInd w:w="-285" w:type="dxa"/>
        <w:tblLook w:val="04A0" w:firstRow="1" w:lastRow="0" w:firstColumn="1" w:lastColumn="0" w:noHBand="0" w:noVBand="1"/>
      </w:tblPr>
      <w:tblGrid>
        <w:gridCol w:w="5163"/>
        <w:gridCol w:w="9237"/>
      </w:tblGrid>
      <w:tr w:rsidR="009E7B72" w:rsidRPr="005B09B0" w14:paraId="1F02669D" w14:textId="77777777" w:rsidTr="00392E4D">
        <w:tc>
          <w:tcPr>
            <w:tcW w:w="5163" w:type="dxa"/>
            <w:tcBorders>
              <w:left w:val="single" w:sz="12" w:space="0" w:color="auto"/>
            </w:tcBorders>
            <w:shd w:val="clear" w:color="auto" w:fill="D9D9D9"/>
          </w:tcPr>
          <w:p w14:paraId="0AEB7E11" w14:textId="77777777" w:rsidR="009E7B72" w:rsidRPr="005B09B0" w:rsidRDefault="009E7B72" w:rsidP="00C11013">
            <w:pPr>
              <w:rPr>
                <w:rFonts w:ascii="Calibri" w:eastAsia="Calibri" w:hAnsi="Calibri" w:cs="Times New Roman"/>
                <w:sz w:val="18"/>
                <w:szCs w:val="18"/>
              </w:rPr>
            </w:pPr>
            <w:r w:rsidRPr="005B09B0">
              <w:rPr>
                <w:rFonts w:ascii="Calibri" w:eastAsia="Calibri" w:hAnsi="Calibri" w:cs="Times New Roman"/>
                <w:sz w:val="18"/>
                <w:szCs w:val="18"/>
              </w:rPr>
              <w:lastRenderedPageBreak/>
              <w:t>Relative importance given to execution factors &amp; other considerations</w:t>
            </w:r>
          </w:p>
        </w:tc>
        <w:tc>
          <w:tcPr>
            <w:tcW w:w="9237" w:type="dxa"/>
            <w:tcBorders>
              <w:right w:val="single" w:sz="12" w:space="0" w:color="auto"/>
            </w:tcBorders>
          </w:tcPr>
          <w:p w14:paraId="075010F8" w14:textId="77777777" w:rsidR="009E7B72" w:rsidRPr="00392E4D" w:rsidRDefault="009E7B72" w:rsidP="00392E4D">
            <w:pPr>
              <w:rPr>
                <w:sz w:val="18"/>
                <w:szCs w:val="18"/>
              </w:rPr>
            </w:pPr>
            <w:r w:rsidRPr="0085124E">
              <w:rPr>
                <w:b/>
                <w:bCs/>
                <w:sz w:val="18"/>
                <w:szCs w:val="18"/>
              </w:rPr>
              <w:t>Price</w:t>
            </w:r>
            <w:r w:rsidRPr="00392E4D">
              <w:rPr>
                <w:sz w:val="18"/>
                <w:szCs w:val="18"/>
              </w:rPr>
              <w:t>: this refers to the resulting price of the overall transaction (</w:t>
            </w:r>
            <w:proofErr w:type="gramStart"/>
            <w:r w:rsidRPr="00392E4D">
              <w:rPr>
                <w:sz w:val="18"/>
                <w:szCs w:val="18"/>
              </w:rPr>
              <w:t>i.e.</w:t>
            </w:r>
            <w:proofErr w:type="gramEnd"/>
            <w:r w:rsidRPr="00392E4D">
              <w:rPr>
                <w:sz w:val="18"/>
                <w:szCs w:val="18"/>
              </w:rPr>
              <w:t xml:space="preserve"> the average execution price of the order submitted to us) excluding our own execution charges. It will usually be our most important consideration. </w:t>
            </w:r>
          </w:p>
          <w:p w14:paraId="25A7B5D0" w14:textId="77777777" w:rsidR="009E7B72" w:rsidRPr="00392E4D" w:rsidRDefault="009E7B72" w:rsidP="00392E4D">
            <w:pPr>
              <w:rPr>
                <w:sz w:val="18"/>
                <w:szCs w:val="18"/>
              </w:rPr>
            </w:pPr>
          </w:p>
          <w:p w14:paraId="2DF6BD7D" w14:textId="77777777" w:rsidR="009E7B72" w:rsidRPr="00392E4D" w:rsidRDefault="009E7B72" w:rsidP="00392E4D">
            <w:pPr>
              <w:rPr>
                <w:sz w:val="18"/>
                <w:szCs w:val="18"/>
              </w:rPr>
            </w:pPr>
            <w:r w:rsidRPr="00392E4D">
              <w:rPr>
                <w:sz w:val="18"/>
                <w:szCs w:val="18"/>
              </w:rPr>
              <w:t>After price, speed and likelihood of execution are usually our most important considerations depending on the instructions provided to us.</w:t>
            </w:r>
          </w:p>
          <w:p w14:paraId="6DD01E7A" w14:textId="77777777" w:rsidR="009E7B72" w:rsidRPr="00392E4D" w:rsidRDefault="009E7B72" w:rsidP="00392E4D">
            <w:pPr>
              <w:rPr>
                <w:sz w:val="18"/>
                <w:szCs w:val="18"/>
              </w:rPr>
            </w:pPr>
          </w:p>
          <w:p w14:paraId="642E25C1" w14:textId="77777777" w:rsidR="009E7B72" w:rsidRPr="00392E4D" w:rsidRDefault="009E7B72" w:rsidP="00392E4D">
            <w:pPr>
              <w:pStyle w:val="23BodyText"/>
              <w:spacing w:after="0" w:line="240" w:lineRule="auto"/>
              <w:jc w:val="left"/>
              <w:rPr>
                <w:rFonts w:asciiTheme="minorHAnsi" w:eastAsiaTheme="minorHAnsi" w:hAnsiTheme="minorHAnsi" w:cstheme="minorBidi"/>
                <w:color w:val="auto"/>
                <w:sz w:val="18"/>
                <w:szCs w:val="18"/>
                <w:lang w:eastAsia="en-US" w:bidi="ar-SA"/>
              </w:rPr>
            </w:pPr>
            <w:r w:rsidRPr="0085124E">
              <w:rPr>
                <w:rFonts w:asciiTheme="minorHAnsi" w:eastAsiaTheme="minorHAnsi" w:hAnsiTheme="minorHAnsi" w:cstheme="minorBidi"/>
                <w:b/>
                <w:bCs/>
                <w:color w:val="auto"/>
                <w:sz w:val="18"/>
                <w:szCs w:val="18"/>
                <w:lang w:eastAsia="en-US" w:bidi="ar-SA"/>
              </w:rPr>
              <w:t>Speed</w:t>
            </w:r>
            <w:r w:rsidRPr="00392E4D">
              <w:rPr>
                <w:rFonts w:asciiTheme="minorHAnsi" w:eastAsiaTheme="minorHAnsi" w:hAnsiTheme="minorHAnsi" w:cstheme="minorBidi"/>
                <w:color w:val="auto"/>
                <w:sz w:val="18"/>
                <w:szCs w:val="18"/>
                <w:lang w:eastAsia="en-US" w:bidi="ar-SA"/>
              </w:rPr>
              <w:t xml:space="preserve">: we interpret speed as the rate at which we </w:t>
            </w:r>
            <w:proofErr w:type="gramStart"/>
            <w:r w:rsidRPr="00392E4D">
              <w:rPr>
                <w:rFonts w:asciiTheme="minorHAnsi" w:eastAsiaTheme="minorHAnsi" w:hAnsiTheme="minorHAnsi" w:cstheme="minorBidi"/>
                <w:color w:val="auto"/>
                <w:sz w:val="18"/>
                <w:szCs w:val="18"/>
                <w:lang w:eastAsia="en-US" w:bidi="ar-SA"/>
              </w:rPr>
              <w:t>are able to</w:t>
            </w:r>
            <w:proofErr w:type="gramEnd"/>
            <w:r w:rsidRPr="00392E4D">
              <w:rPr>
                <w:rFonts w:asciiTheme="minorHAnsi" w:eastAsiaTheme="minorHAnsi" w:hAnsiTheme="minorHAnsi" w:cstheme="minorBidi"/>
                <w:color w:val="auto"/>
                <w:sz w:val="18"/>
                <w:szCs w:val="18"/>
                <w:lang w:eastAsia="en-US" w:bidi="ar-SA"/>
              </w:rPr>
              <w:t xml:space="preserve"> progress an order. Where instructions dictate or imply a rate at which we should progress the order, we will follow those instructions unless we see an immediate and substantial conflict with the price. Where the instructions do not refer to speed, we will progress the order at a rate which we believe </w:t>
            </w:r>
            <w:r w:rsidRPr="00392E4D">
              <w:rPr>
                <w:rFonts w:asciiTheme="minorHAnsi" w:eastAsiaTheme="minorHAnsi" w:hAnsiTheme="minorHAnsi" w:cstheme="minorBidi"/>
                <w:color w:val="auto"/>
                <w:sz w:val="18"/>
                <w:szCs w:val="18"/>
                <w:lang w:eastAsia="en-US" w:bidi="ar-SA"/>
              </w:rPr>
              <w:lastRenderedPageBreak/>
              <w:t xml:space="preserve">represents a balance between creating market impact and executing the order in a timely fashion </w:t>
            </w:r>
            <w:proofErr w:type="gramStart"/>
            <w:r w:rsidRPr="00392E4D">
              <w:rPr>
                <w:rFonts w:asciiTheme="minorHAnsi" w:eastAsiaTheme="minorHAnsi" w:hAnsiTheme="minorHAnsi" w:cstheme="minorBidi"/>
                <w:color w:val="auto"/>
                <w:sz w:val="18"/>
                <w:szCs w:val="18"/>
                <w:lang w:eastAsia="en-US" w:bidi="ar-SA"/>
              </w:rPr>
              <w:t>so as to</w:t>
            </w:r>
            <w:proofErr w:type="gramEnd"/>
            <w:r w:rsidRPr="00392E4D">
              <w:rPr>
                <w:rFonts w:asciiTheme="minorHAnsi" w:eastAsiaTheme="minorHAnsi" w:hAnsiTheme="minorHAnsi" w:cstheme="minorBidi"/>
                <w:color w:val="auto"/>
                <w:sz w:val="18"/>
                <w:szCs w:val="18"/>
                <w:lang w:eastAsia="en-US" w:bidi="ar-SA"/>
              </w:rPr>
              <w:t xml:space="preserve"> reduce execution risk.</w:t>
            </w:r>
          </w:p>
          <w:p w14:paraId="596B4BA2" w14:textId="77777777" w:rsidR="009E7B72" w:rsidRPr="00392E4D" w:rsidRDefault="009E7B72" w:rsidP="00392E4D">
            <w:pPr>
              <w:pStyle w:val="23BodyText"/>
              <w:spacing w:after="0" w:line="240" w:lineRule="auto"/>
              <w:jc w:val="left"/>
              <w:rPr>
                <w:rFonts w:asciiTheme="minorHAnsi" w:eastAsiaTheme="minorHAnsi" w:hAnsiTheme="minorHAnsi" w:cstheme="minorBidi"/>
                <w:color w:val="auto"/>
                <w:sz w:val="18"/>
                <w:szCs w:val="18"/>
                <w:lang w:eastAsia="en-US" w:bidi="ar-SA"/>
              </w:rPr>
            </w:pPr>
          </w:p>
          <w:p w14:paraId="04415C9F" w14:textId="77777777" w:rsidR="009E7B72" w:rsidRPr="00392E4D" w:rsidRDefault="009E7B72" w:rsidP="00392E4D">
            <w:pPr>
              <w:pStyle w:val="23BodyText"/>
              <w:spacing w:after="0" w:line="240" w:lineRule="auto"/>
              <w:jc w:val="left"/>
              <w:rPr>
                <w:rFonts w:asciiTheme="minorHAnsi" w:eastAsiaTheme="minorHAnsi" w:hAnsiTheme="minorHAnsi" w:cstheme="minorBidi"/>
                <w:color w:val="auto"/>
                <w:sz w:val="18"/>
                <w:szCs w:val="18"/>
                <w:lang w:eastAsia="en-US" w:bidi="ar-SA"/>
              </w:rPr>
            </w:pPr>
            <w:r w:rsidRPr="0085124E">
              <w:rPr>
                <w:rFonts w:asciiTheme="minorHAnsi" w:eastAsiaTheme="minorHAnsi" w:hAnsiTheme="minorHAnsi" w:cstheme="minorBidi"/>
                <w:b/>
                <w:bCs/>
                <w:color w:val="auto"/>
                <w:sz w:val="18"/>
                <w:szCs w:val="18"/>
                <w:lang w:eastAsia="en-US" w:bidi="ar-SA"/>
              </w:rPr>
              <w:t>Likelihood of execution / size</w:t>
            </w:r>
            <w:r w:rsidRPr="00392E4D">
              <w:rPr>
                <w:rFonts w:asciiTheme="minorHAnsi" w:eastAsiaTheme="minorHAnsi" w:hAnsiTheme="minorHAnsi" w:cstheme="minorBidi"/>
                <w:color w:val="auto"/>
                <w:sz w:val="18"/>
                <w:szCs w:val="18"/>
                <w:lang w:eastAsia="en-US" w:bidi="ar-SA"/>
              </w:rPr>
              <w:t xml:space="preserve">: we interpret this as the likelihood that we </w:t>
            </w:r>
            <w:proofErr w:type="gramStart"/>
            <w:r w:rsidRPr="00392E4D">
              <w:rPr>
                <w:rFonts w:asciiTheme="minorHAnsi" w:eastAsiaTheme="minorHAnsi" w:hAnsiTheme="minorHAnsi" w:cstheme="minorBidi"/>
                <w:color w:val="auto"/>
                <w:sz w:val="18"/>
                <w:szCs w:val="18"/>
                <w:lang w:eastAsia="en-US" w:bidi="ar-SA"/>
              </w:rPr>
              <w:t>are able to</w:t>
            </w:r>
            <w:proofErr w:type="gramEnd"/>
            <w:r w:rsidRPr="00392E4D">
              <w:rPr>
                <w:rFonts w:asciiTheme="minorHAnsi" w:eastAsiaTheme="minorHAnsi" w:hAnsiTheme="minorHAnsi" w:cstheme="minorBidi"/>
                <w:color w:val="auto"/>
                <w:sz w:val="18"/>
                <w:szCs w:val="18"/>
                <w:lang w:eastAsia="en-US" w:bidi="ar-SA"/>
              </w:rPr>
              <w:t xml:space="preserve"> fill the order, or at least a substantial part of it, in its entirety. This factor increases in importance in situations where access to liquidity in the relevant instrument is constrained in some way. For example, if the security itself is illiquid or if a limit price is provided which is not marketable.</w:t>
            </w:r>
          </w:p>
          <w:p w14:paraId="5A8B0046" w14:textId="77777777" w:rsidR="009E7B72" w:rsidRPr="00392E4D" w:rsidRDefault="009E7B72" w:rsidP="00392E4D">
            <w:pPr>
              <w:pStyle w:val="23BodyText"/>
              <w:spacing w:after="0" w:line="240" w:lineRule="auto"/>
              <w:jc w:val="left"/>
              <w:rPr>
                <w:rFonts w:asciiTheme="minorHAnsi" w:eastAsiaTheme="minorHAnsi" w:hAnsiTheme="minorHAnsi" w:cstheme="minorBidi"/>
                <w:color w:val="auto"/>
                <w:sz w:val="18"/>
                <w:szCs w:val="18"/>
                <w:lang w:eastAsia="en-US" w:bidi="ar-SA"/>
              </w:rPr>
            </w:pPr>
          </w:p>
          <w:p w14:paraId="21966655" w14:textId="4CC968D7" w:rsidR="009E7B72" w:rsidRPr="00392E4D" w:rsidRDefault="009E7B72" w:rsidP="00392E4D">
            <w:pPr>
              <w:rPr>
                <w:sz w:val="18"/>
                <w:szCs w:val="18"/>
              </w:rPr>
            </w:pPr>
            <w:r w:rsidRPr="003427A1">
              <w:rPr>
                <w:b/>
                <w:bCs/>
                <w:sz w:val="18"/>
                <w:szCs w:val="18"/>
              </w:rPr>
              <w:t>Important Note</w:t>
            </w:r>
            <w:r w:rsidRPr="00392E4D">
              <w:rPr>
                <w:sz w:val="18"/>
                <w:szCs w:val="18"/>
              </w:rPr>
              <w:t>: in prioritizing the price of the overall transaction, we may not necessarily prioritise the best price,</w:t>
            </w:r>
            <w:r w:rsidR="004239D3">
              <w:rPr>
                <w:sz w:val="18"/>
                <w:szCs w:val="18"/>
              </w:rPr>
              <w:t xml:space="preserve"> </w:t>
            </w:r>
            <w:proofErr w:type="gramStart"/>
            <w:r w:rsidRPr="00392E4D">
              <w:rPr>
                <w:sz w:val="18"/>
                <w:szCs w:val="18"/>
              </w:rPr>
              <w:t>speed</w:t>
            </w:r>
            <w:proofErr w:type="gramEnd"/>
            <w:r w:rsidRPr="00392E4D">
              <w:rPr>
                <w:sz w:val="18"/>
                <w:szCs w:val="18"/>
              </w:rPr>
              <w:t xml:space="preserve"> or likelihood of execution in selecting a venue for all the individual parts of an order if we do not believe this is of benefit to the overall transaction price.</w:t>
            </w:r>
          </w:p>
          <w:p w14:paraId="21E089BF" w14:textId="77777777" w:rsidR="009E7B72" w:rsidRPr="00392E4D" w:rsidRDefault="009E7B72" w:rsidP="00392E4D">
            <w:pPr>
              <w:pStyle w:val="23BodyText"/>
              <w:spacing w:after="0" w:line="240" w:lineRule="auto"/>
              <w:jc w:val="left"/>
              <w:rPr>
                <w:rFonts w:asciiTheme="minorHAnsi" w:eastAsiaTheme="minorHAnsi" w:hAnsiTheme="minorHAnsi" w:cstheme="minorBidi"/>
                <w:color w:val="auto"/>
                <w:sz w:val="18"/>
                <w:szCs w:val="18"/>
                <w:lang w:eastAsia="en-US" w:bidi="ar-SA"/>
              </w:rPr>
            </w:pPr>
          </w:p>
          <w:p w14:paraId="3E112713" w14:textId="77777777" w:rsidR="009E7B72" w:rsidRPr="00392E4D" w:rsidRDefault="009E7B72" w:rsidP="00392E4D">
            <w:pPr>
              <w:rPr>
                <w:sz w:val="18"/>
                <w:szCs w:val="18"/>
              </w:rPr>
            </w:pPr>
            <w:r w:rsidRPr="0085124E">
              <w:rPr>
                <w:b/>
                <w:bCs/>
                <w:sz w:val="18"/>
                <w:szCs w:val="18"/>
              </w:rPr>
              <w:t>Likelihood of settlement</w:t>
            </w:r>
            <w:r w:rsidRPr="00392E4D">
              <w:rPr>
                <w:sz w:val="18"/>
                <w:szCs w:val="18"/>
              </w:rPr>
              <w:t>: we expect transactions that we execute to settle in a timely fashion. Generally, in equity security markets, likelihood of settlement is not a significant factor. However, if we become aware that a particular execution strategy may compromise likelihood of settlement, we may not pursue that strategy even if it would result in a better price.</w:t>
            </w:r>
          </w:p>
          <w:p w14:paraId="3314D0B4" w14:textId="77777777" w:rsidR="009E7B72" w:rsidRPr="00392E4D" w:rsidRDefault="009E7B72" w:rsidP="00392E4D">
            <w:pPr>
              <w:rPr>
                <w:sz w:val="18"/>
                <w:szCs w:val="18"/>
              </w:rPr>
            </w:pPr>
          </w:p>
          <w:p w14:paraId="40976A33" w14:textId="77777777" w:rsidR="009E7B72" w:rsidRPr="00392E4D" w:rsidRDefault="009E7B72" w:rsidP="00392E4D">
            <w:pPr>
              <w:pStyle w:val="23BodyText"/>
              <w:spacing w:after="0" w:line="240" w:lineRule="auto"/>
              <w:jc w:val="left"/>
              <w:rPr>
                <w:rFonts w:asciiTheme="minorHAnsi" w:eastAsiaTheme="minorHAnsi" w:hAnsiTheme="minorHAnsi" w:cstheme="minorBidi"/>
                <w:color w:val="auto"/>
                <w:sz w:val="18"/>
                <w:szCs w:val="18"/>
                <w:lang w:eastAsia="en-US" w:bidi="ar-SA"/>
              </w:rPr>
            </w:pPr>
            <w:r w:rsidRPr="0085124E">
              <w:rPr>
                <w:rFonts w:asciiTheme="minorHAnsi" w:eastAsiaTheme="minorHAnsi" w:hAnsiTheme="minorHAnsi" w:cstheme="minorBidi"/>
                <w:b/>
                <w:bCs/>
                <w:color w:val="auto"/>
                <w:sz w:val="18"/>
                <w:szCs w:val="18"/>
                <w:lang w:eastAsia="en-US" w:bidi="ar-SA"/>
              </w:rPr>
              <w:t>Costs</w:t>
            </w:r>
            <w:r w:rsidRPr="00392E4D">
              <w:rPr>
                <w:rFonts w:asciiTheme="minorHAnsi" w:eastAsiaTheme="minorHAnsi" w:hAnsiTheme="minorHAnsi" w:cstheme="minorBidi"/>
                <w:color w:val="auto"/>
                <w:sz w:val="18"/>
                <w:szCs w:val="18"/>
                <w:lang w:eastAsia="en-US" w:bidi="ar-SA"/>
              </w:rPr>
              <w:t>: these relate to commissions, costs and the fees that are charged for executing an order. If a client deals with us on a fixed commission basis, these costs will have only a minor influence in the way that we execute your order. If a client has a commercial arrangement with us in which those costs influence our own charges, we will agree an appropriate way with that client to incorporate costs into our execution strategy.  We will also agree a schedule of fees that makes clear the charges that the client will incur for the usage of different execution venues.</w:t>
            </w:r>
          </w:p>
          <w:p w14:paraId="108D7D08" w14:textId="77777777" w:rsidR="009E7B72" w:rsidRPr="00392E4D" w:rsidRDefault="009E7B72" w:rsidP="00392E4D">
            <w:pPr>
              <w:rPr>
                <w:sz w:val="18"/>
                <w:szCs w:val="18"/>
              </w:rPr>
            </w:pPr>
          </w:p>
        </w:tc>
      </w:tr>
      <w:tr w:rsidR="009E7B72" w:rsidRPr="005B09B0" w14:paraId="436C775F" w14:textId="77777777" w:rsidTr="00392E4D">
        <w:tc>
          <w:tcPr>
            <w:tcW w:w="5163" w:type="dxa"/>
            <w:tcBorders>
              <w:left w:val="single" w:sz="12" w:space="0" w:color="auto"/>
            </w:tcBorders>
            <w:shd w:val="clear" w:color="auto" w:fill="D9D9D9"/>
          </w:tcPr>
          <w:p w14:paraId="3A274C2F" w14:textId="77777777" w:rsidR="009E7B72" w:rsidRPr="005B09B0" w:rsidRDefault="009E7B72" w:rsidP="00C11013">
            <w:pPr>
              <w:rPr>
                <w:rFonts w:ascii="Calibri" w:eastAsia="Calibri" w:hAnsi="Calibri" w:cs="Times New Roman"/>
                <w:sz w:val="18"/>
                <w:szCs w:val="18"/>
              </w:rPr>
            </w:pPr>
            <w:r w:rsidRPr="005B09B0">
              <w:rPr>
                <w:rFonts w:ascii="Calibri" w:eastAsia="Calibri" w:hAnsi="Calibri" w:cs="Times New Roman"/>
                <w:sz w:val="18"/>
                <w:szCs w:val="18"/>
              </w:rPr>
              <w:lastRenderedPageBreak/>
              <w:t>Execution venue close links / conflicts of interest / common ownerships</w:t>
            </w:r>
          </w:p>
        </w:tc>
        <w:tc>
          <w:tcPr>
            <w:tcW w:w="9237" w:type="dxa"/>
            <w:tcBorders>
              <w:right w:val="single" w:sz="12" w:space="0" w:color="auto"/>
            </w:tcBorders>
          </w:tcPr>
          <w:p w14:paraId="1753872D" w14:textId="6BCD5BA0" w:rsidR="0085124E" w:rsidRDefault="008328DD" w:rsidP="00C11013">
            <w:pPr>
              <w:rPr>
                <w:sz w:val="18"/>
                <w:szCs w:val="18"/>
              </w:rPr>
            </w:pPr>
            <w:r>
              <w:rPr>
                <w:b/>
                <w:bCs/>
                <w:sz w:val="18"/>
                <w:szCs w:val="18"/>
                <w:u w:val="single"/>
              </w:rPr>
              <w:t xml:space="preserve">Cash </w:t>
            </w:r>
            <w:r w:rsidR="0085124E" w:rsidRPr="0085124E">
              <w:rPr>
                <w:b/>
                <w:bCs/>
                <w:sz w:val="18"/>
                <w:szCs w:val="18"/>
                <w:u w:val="single"/>
              </w:rPr>
              <w:t>Equities</w:t>
            </w:r>
            <w:r w:rsidR="0085124E" w:rsidRPr="0085124E">
              <w:rPr>
                <w:b/>
                <w:bCs/>
                <w:sz w:val="18"/>
                <w:szCs w:val="18"/>
              </w:rPr>
              <w:t>:</w:t>
            </w:r>
            <w:r w:rsidR="0085124E">
              <w:rPr>
                <w:sz w:val="18"/>
                <w:szCs w:val="18"/>
              </w:rPr>
              <w:t xml:space="preserve"> </w:t>
            </w:r>
          </w:p>
          <w:p w14:paraId="2989E0DB" w14:textId="3A9C4017" w:rsidR="009E7B72" w:rsidRDefault="0085124E" w:rsidP="00C11013">
            <w:pPr>
              <w:rPr>
                <w:sz w:val="18"/>
                <w:szCs w:val="18"/>
              </w:rPr>
            </w:pPr>
            <w:r>
              <w:rPr>
                <w:sz w:val="18"/>
                <w:szCs w:val="18"/>
              </w:rPr>
              <w:t>Not Applicable</w:t>
            </w:r>
          </w:p>
          <w:p w14:paraId="06B24A69" w14:textId="77777777" w:rsidR="0086254D" w:rsidRDefault="0086254D" w:rsidP="00C11013">
            <w:pPr>
              <w:rPr>
                <w:sz w:val="18"/>
                <w:szCs w:val="18"/>
              </w:rPr>
            </w:pPr>
          </w:p>
          <w:p w14:paraId="29840C39" w14:textId="77777777" w:rsidR="0086254D" w:rsidRDefault="0086254D" w:rsidP="0086254D">
            <w:pPr>
              <w:rPr>
                <w:b/>
                <w:color w:val="000000" w:themeColor="text1"/>
                <w:sz w:val="18"/>
                <w:szCs w:val="18"/>
                <w:u w:val="single"/>
              </w:rPr>
            </w:pPr>
            <w:r>
              <w:rPr>
                <w:b/>
                <w:color w:val="000000" w:themeColor="text1"/>
                <w:sz w:val="18"/>
                <w:szCs w:val="18"/>
                <w:u w:val="single"/>
              </w:rPr>
              <w:t>FORSS:</w:t>
            </w:r>
          </w:p>
          <w:p w14:paraId="49D5B84E" w14:textId="77777777" w:rsidR="0086254D" w:rsidRDefault="0086254D" w:rsidP="0086254D">
            <w:pPr>
              <w:rPr>
                <w:color w:val="000000" w:themeColor="text1"/>
                <w:sz w:val="18"/>
                <w:szCs w:val="18"/>
              </w:rPr>
            </w:pPr>
            <w:r>
              <w:rPr>
                <w:color w:val="000000" w:themeColor="text1"/>
                <w:sz w:val="18"/>
                <w:szCs w:val="18"/>
              </w:rPr>
              <w:t>Please note that some of the investment vehicles we make available may include investment funds of our affiliates.</w:t>
            </w:r>
          </w:p>
          <w:p w14:paraId="270C5AC2" w14:textId="77777777" w:rsidR="0086254D" w:rsidRDefault="0086254D" w:rsidP="0086254D">
            <w:pPr>
              <w:rPr>
                <w:color w:val="000000" w:themeColor="text1"/>
                <w:sz w:val="18"/>
                <w:szCs w:val="18"/>
              </w:rPr>
            </w:pPr>
          </w:p>
          <w:p w14:paraId="0BCED376" w14:textId="77777777" w:rsidR="0085124E" w:rsidRDefault="0086254D" w:rsidP="0086254D">
            <w:pPr>
              <w:rPr>
                <w:b/>
                <w:color w:val="000000" w:themeColor="text1"/>
                <w:sz w:val="18"/>
                <w:szCs w:val="18"/>
              </w:rPr>
            </w:pPr>
            <w:r w:rsidRPr="00625958">
              <w:rPr>
                <w:b/>
                <w:color w:val="000000" w:themeColor="text1"/>
                <w:sz w:val="18"/>
                <w:szCs w:val="18"/>
                <w:u w:val="single"/>
              </w:rPr>
              <w:t>Liquidity Services</w:t>
            </w:r>
            <w:r w:rsidRPr="00B21FEF">
              <w:rPr>
                <w:b/>
                <w:color w:val="000000" w:themeColor="text1"/>
                <w:sz w:val="18"/>
                <w:szCs w:val="18"/>
              </w:rPr>
              <w:t xml:space="preserve">: </w:t>
            </w:r>
          </w:p>
          <w:p w14:paraId="200296D3" w14:textId="7A75947F" w:rsidR="0086254D" w:rsidRDefault="0086254D" w:rsidP="0086254D">
            <w:pPr>
              <w:rPr>
                <w:b/>
                <w:color w:val="000000" w:themeColor="text1"/>
                <w:sz w:val="18"/>
                <w:szCs w:val="18"/>
                <w:u w:val="single"/>
              </w:rPr>
            </w:pPr>
            <w:r w:rsidRPr="00B21FEF">
              <w:rPr>
                <w:bCs/>
                <w:color w:val="000000" w:themeColor="text1"/>
                <w:sz w:val="18"/>
                <w:szCs w:val="18"/>
              </w:rPr>
              <w:t>Not Applicable</w:t>
            </w:r>
          </w:p>
          <w:p w14:paraId="10A274EE" w14:textId="3EE31ADA" w:rsidR="0086254D" w:rsidRPr="00392E4D" w:rsidRDefault="0086254D" w:rsidP="00C11013">
            <w:pPr>
              <w:rPr>
                <w:sz w:val="18"/>
                <w:szCs w:val="18"/>
              </w:rPr>
            </w:pPr>
          </w:p>
        </w:tc>
      </w:tr>
      <w:tr w:rsidR="009E7B72" w:rsidRPr="005B09B0" w14:paraId="5909A688" w14:textId="77777777" w:rsidTr="00052E11">
        <w:trPr>
          <w:trHeight w:val="1457"/>
        </w:trPr>
        <w:tc>
          <w:tcPr>
            <w:tcW w:w="5163" w:type="dxa"/>
            <w:tcBorders>
              <w:left w:val="single" w:sz="12" w:space="0" w:color="auto"/>
            </w:tcBorders>
            <w:shd w:val="clear" w:color="auto" w:fill="D9D9D9"/>
          </w:tcPr>
          <w:p w14:paraId="332C5818" w14:textId="77777777" w:rsidR="009E7B72" w:rsidRPr="005B09B0" w:rsidRDefault="009E7B72" w:rsidP="00C11013">
            <w:pPr>
              <w:rPr>
                <w:rFonts w:ascii="Calibri" w:eastAsia="Calibri" w:hAnsi="Calibri" w:cs="Times New Roman"/>
                <w:sz w:val="18"/>
                <w:szCs w:val="18"/>
              </w:rPr>
            </w:pPr>
            <w:r w:rsidRPr="005B09B0">
              <w:rPr>
                <w:rFonts w:ascii="Calibri" w:eastAsia="Calibri" w:hAnsi="Calibri" w:cs="Times New Roman"/>
                <w:sz w:val="18"/>
                <w:szCs w:val="18"/>
              </w:rPr>
              <w:t>Specific execution venue arrangements</w:t>
            </w:r>
          </w:p>
        </w:tc>
        <w:tc>
          <w:tcPr>
            <w:tcW w:w="9237" w:type="dxa"/>
            <w:tcBorders>
              <w:right w:val="single" w:sz="12" w:space="0" w:color="auto"/>
            </w:tcBorders>
          </w:tcPr>
          <w:p w14:paraId="473C6FBA" w14:textId="77777777" w:rsidR="009E7B72" w:rsidRPr="00392E4D" w:rsidRDefault="009E7B72" w:rsidP="00392E4D">
            <w:pPr>
              <w:rPr>
                <w:sz w:val="18"/>
                <w:szCs w:val="18"/>
              </w:rPr>
            </w:pPr>
            <w:r w:rsidRPr="00392E4D">
              <w:rPr>
                <w:sz w:val="18"/>
                <w:szCs w:val="18"/>
              </w:rPr>
              <w:t>Regarding payments made or received, discounts, rebates or non-monetary benefits received:</w:t>
            </w:r>
          </w:p>
          <w:p w14:paraId="749718B2" w14:textId="77777777" w:rsidR="009E7B72" w:rsidRPr="00392E4D" w:rsidRDefault="009E7B72" w:rsidP="00392E4D">
            <w:pPr>
              <w:rPr>
                <w:sz w:val="18"/>
                <w:szCs w:val="18"/>
              </w:rPr>
            </w:pPr>
            <w:r w:rsidRPr="00392E4D">
              <w:rPr>
                <w:sz w:val="18"/>
                <w:szCs w:val="18"/>
              </w:rPr>
              <w:t xml:space="preserve">J.P. Morgan does not have any specific arrangements with any trading venues other than standard publicly available terms.  Where J.P. Morgan contracts with execution venues, it may negotiate specific commercial terms bilaterally with those </w:t>
            </w:r>
            <w:proofErr w:type="gramStart"/>
            <w:r w:rsidRPr="00392E4D">
              <w:rPr>
                <w:sz w:val="18"/>
                <w:szCs w:val="18"/>
              </w:rPr>
              <w:t>venues</w:t>
            </w:r>
            <w:proofErr w:type="gramEnd"/>
            <w:r w:rsidRPr="00392E4D">
              <w:rPr>
                <w:sz w:val="18"/>
                <w:szCs w:val="18"/>
              </w:rPr>
              <w:t xml:space="preserve"> but those terms will not include being compensated directly or in-directly for business given to those venues.</w:t>
            </w:r>
          </w:p>
          <w:p w14:paraId="639B549B" w14:textId="77777777" w:rsidR="009E7B72" w:rsidRPr="00392E4D" w:rsidRDefault="009E7B72" w:rsidP="00392E4D">
            <w:pPr>
              <w:rPr>
                <w:sz w:val="18"/>
                <w:szCs w:val="18"/>
              </w:rPr>
            </w:pPr>
          </w:p>
        </w:tc>
      </w:tr>
      <w:tr w:rsidR="009E7B72" w:rsidRPr="005B09B0" w14:paraId="4DC25691" w14:textId="77777777" w:rsidTr="00392E4D">
        <w:tc>
          <w:tcPr>
            <w:tcW w:w="5163" w:type="dxa"/>
            <w:shd w:val="clear" w:color="auto" w:fill="D9D9D9" w:themeFill="background1" w:themeFillShade="D9"/>
          </w:tcPr>
          <w:p w14:paraId="6246A2A5" w14:textId="77777777" w:rsidR="009E7B72" w:rsidRPr="005B09B0" w:rsidRDefault="009E7B72" w:rsidP="00C11013">
            <w:pPr>
              <w:rPr>
                <w:rFonts w:ascii="Calibri" w:eastAsia="Calibri" w:hAnsi="Calibri" w:cs="Times New Roman"/>
                <w:sz w:val="18"/>
                <w:szCs w:val="18"/>
              </w:rPr>
            </w:pPr>
            <w:r w:rsidRPr="005B09B0">
              <w:rPr>
                <w:rFonts w:ascii="Calibri" w:eastAsia="Calibri" w:hAnsi="Calibri" w:cs="Times New Roman"/>
                <w:sz w:val="18"/>
                <w:szCs w:val="18"/>
              </w:rPr>
              <w:lastRenderedPageBreak/>
              <w:t>Changes to execution venues</w:t>
            </w:r>
          </w:p>
        </w:tc>
        <w:tc>
          <w:tcPr>
            <w:tcW w:w="9237" w:type="dxa"/>
          </w:tcPr>
          <w:p w14:paraId="12081A1D" w14:textId="6E40BD9E" w:rsidR="005A22B3" w:rsidRDefault="008328DD" w:rsidP="005A22B3">
            <w:pPr>
              <w:rPr>
                <w:sz w:val="18"/>
                <w:szCs w:val="18"/>
              </w:rPr>
            </w:pPr>
            <w:r>
              <w:rPr>
                <w:b/>
                <w:bCs/>
                <w:sz w:val="18"/>
                <w:szCs w:val="18"/>
                <w:u w:val="single"/>
              </w:rPr>
              <w:t xml:space="preserve">Cash </w:t>
            </w:r>
            <w:r w:rsidR="005A22B3" w:rsidRPr="0085124E">
              <w:rPr>
                <w:b/>
                <w:bCs/>
                <w:sz w:val="18"/>
                <w:szCs w:val="18"/>
                <w:u w:val="single"/>
              </w:rPr>
              <w:t>Equities</w:t>
            </w:r>
            <w:r w:rsidR="005A22B3" w:rsidRPr="0085124E">
              <w:rPr>
                <w:b/>
                <w:bCs/>
                <w:sz w:val="18"/>
                <w:szCs w:val="18"/>
              </w:rPr>
              <w:t>:</w:t>
            </w:r>
            <w:r w:rsidR="005A22B3">
              <w:rPr>
                <w:sz w:val="18"/>
                <w:szCs w:val="18"/>
              </w:rPr>
              <w:t xml:space="preserve"> </w:t>
            </w:r>
          </w:p>
          <w:p w14:paraId="09CCD4B0" w14:textId="77777777" w:rsidR="005A22B3" w:rsidRDefault="005A22B3" w:rsidP="00392E4D">
            <w:pPr>
              <w:rPr>
                <w:sz w:val="18"/>
                <w:szCs w:val="18"/>
              </w:rPr>
            </w:pPr>
          </w:p>
          <w:p w14:paraId="4ADA7BB7" w14:textId="23E10014" w:rsidR="009E7B72" w:rsidRDefault="009E7B72" w:rsidP="00392E4D">
            <w:pPr>
              <w:rPr>
                <w:sz w:val="18"/>
                <w:szCs w:val="18"/>
              </w:rPr>
            </w:pPr>
            <w:r w:rsidRPr="00392E4D">
              <w:rPr>
                <w:sz w:val="18"/>
                <w:szCs w:val="18"/>
              </w:rPr>
              <w:t xml:space="preserve">In 2022 we added </w:t>
            </w:r>
            <w:proofErr w:type="spellStart"/>
            <w:r w:rsidRPr="00052E11">
              <w:rPr>
                <w:sz w:val="18"/>
                <w:szCs w:val="18"/>
              </w:rPr>
              <w:t>Aquis</w:t>
            </w:r>
            <w:proofErr w:type="spellEnd"/>
            <w:r w:rsidRPr="00052E11">
              <w:rPr>
                <w:sz w:val="18"/>
                <w:szCs w:val="18"/>
              </w:rPr>
              <w:t xml:space="preserve"> Matching Pool following the acquisition of UBS MTF by </w:t>
            </w:r>
            <w:proofErr w:type="spellStart"/>
            <w:r w:rsidRPr="00052E11">
              <w:rPr>
                <w:sz w:val="18"/>
                <w:szCs w:val="18"/>
              </w:rPr>
              <w:t>Aquis</w:t>
            </w:r>
            <w:proofErr w:type="spellEnd"/>
            <w:r w:rsidRPr="00052E11">
              <w:rPr>
                <w:sz w:val="18"/>
                <w:szCs w:val="18"/>
              </w:rPr>
              <w:t xml:space="preserve"> Exchange.</w:t>
            </w:r>
          </w:p>
          <w:p w14:paraId="763FE0C7" w14:textId="0B9F298B" w:rsidR="00270099" w:rsidRDefault="00270099" w:rsidP="00392E4D">
            <w:pPr>
              <w:rPr>
                <w:sz w:val="18"/>
                <w:szCs w:val="18"/>
              </w:rPr>
            </w:pPr>
          </w:p>
          <w:p w14:paraId="7409834C" w14:textId="6F6D34CB" w:rsidR="00270099" w:rsidRPr="00270099" w:rsidRDefault="00270099" w:rsidP="00270099">
            <w:pPr>
              <w:spacing w:after="200"/>
              <w:contextualSpacing/>
              <w:rPr>
                <w:color w:val="000000" w:themeColor="text1"/>
                <w:sz w:val="18"/>
                <w:szCs w:val="18"/>
              </w:rPr>
            </w:pPr>
            <w:r>
              <w:rPr>
                <w:b/>
                <w:color w:val="000000" w:themeColor="text1"/>
                <w:sz w:val="18"/>
                <w:szCs w:val="18"/>
                <w:u w:val="single"/>
              </w:rPr>
              <w:t>FORSS &amp; L</w:t>
            </w:r>
            <w:r w:rsidRPr="00625958">
              <w:rPr>
                <w:b/>
                <w:color w:val="000000" w:themeColor="text1"/>
                <w:sz w:val="18"/>
                <w:szCs w:val="18"/>
                <w:u w:val="single"/>
              </w:rPr>
              <w:t>iquidity Services:</w:t>
            </w:r>
            <w:r w:rsidRPr="00625958">
              <w:rPr>
                <w:color w:val="000000" w:themeColor="text1"/>
                <w:sz w:val="18"/>
                <w:szCs w:val="18"/>
              </w:rPr>
              <w:t xml:space="preserve"> Not Applicable</w:t>
            </w:r>
          </w:p>
          <w:p w14:paraId="3AC90B46" w14:textId="77777777" w:rsidR="009E7B72" w:rsidRPr="00392E4D" w:rsidRDefault="009E7B72" w:rsidP="00392E4D">
            <w:pPr>
              <w:rPr>
                <w:sz w:val="18"/>
                <w:szCs w:val="18"/>
              </w:rPr>
            </w:pPr>
          </w:p>
        </w:tc>
      </w:tr>
      <w:tr w:rsidR="009E7B72" w:rsidRPr="00D8585C" w14:paraId="126F13C3" w14:textId="77777777" w:rsidTr="00DC5BCA">
        <w:trPr>
          <w:trHeight w:val="278"/>
        </w:trPr>
        <w:tc>
          <w:tcPr>
            <w:tcW w:w="5163" w:type="dxa"/>
            <w:shd w:val="clear" w:color="auto" w:fill="D9D9D9" w:themeFill="background1" w:themeFillShade="D9"/>
          </w:tcPr>
          <w:p w14:paraId="337FE639" w14:textId="77777777" w:rsidR="009E7B72" w:rsidRPr="005B09B0" w:rsidRDefault="009E7B72" w:rsidP="00C11013">
            <w:pPr>
              <w:rPr>
                <w:rFonts w:ascii="Calibri" w:eastAsia="Calibri" w:hAnsi="Calibri" w:cs="Times New Roman"/>
                <w:sz w:val="18"/>
                <w:szCs w:val="18"/>
              </w:rPr>
            </w:pPr>
            <w:bookmarkStart w:id="0" w:name="_Hlk131670081"/>
            <w:r w:rsidRPr="005B09B0">
              <w:rPr>
                <w:rFonts w:ascii="Calibri" w:eastAsia="Calibri" w:hAnsi="Calibri" w:cs="Times New Roman"/>
                <w:sz w:val="18"/>
                <w:szCs w:val="18"/>
              </w:rPr>
              <w:t>Client distinctions</w:t>
            </w:r>
          </w:p>
        </w:tc>
        <w:tc>
          <w:tcPr>
            <w:tcW w:w="9237" w:type="dxa"/>
          </w:tcPr>
          <w:p w14:paraId="3746E358" w14:textId="77777777" w:rsidR="00EC5BE7" w:rsidRDefault="00EC5BE7" w:rsidP="00EC5BE7">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6AD74FA0" w14:textId="7B71528F" w:rsidR="00EC5BE7" w:rsidRDefault="00EC5BE7" w:rsidP="00EC5BE7">
            <w:pPr>
              <w:spacing w:after="120"/>
              <w:rPr>
                <w:sz w:val="18"/>
                <w:szCs w:val="18"/>
              </w:rPr>
            </w:pPr>
            <w:r>
              <w:rPr>
                <w:sz w:val="18"/>
                <w:szCs w:val="18"/>
              </w:rPr>
              <w:t xml:space="preserve">JPMSE CIB only deals with Professional </w:t>
            </w:r>
            <w:r w:rsidR="008328DD">
              <w:rPr>
                <w:sz w:val="18"/>
                <w:szCs w:val="18"/>
              </w:rPr>
              <w:t>C</w:t>
            </w:r>
            <w:r>
              <w:rPr>
                <w:sz w:val="18"/>
                <w:szCs w:val="18"/>
              </w:rPr>
              <w:t xml:space="preserve">lients. </w:t>
            </w:r>
          </w:p>
          <w:p w14:paraId="2C1EBA0E" w14:textId="41CD05AE" w:rsidR="009E7B72" w:rsidRDefault="00DA38C4" w:rsidP="00EC5BE7">
            <w:pPr>
              <w:rPr>
                <w:sz w:val="18"/>
                <w:szCs w:val="18"/>
              </w:rPr>
            </w:pPr>
            <w:r>
              <w:rPr>
                <w:sz w:val="18"/>
                <w:szCs w:val="18"/>
              </w:rPr>
              <w:t xml:space="preserve">However, </w:t>
            </w:r>
            <w:r w:rsidR="00EC5BE7">
              <w:rPr>
                <w:sz w:val="18"/>
                <w:szCs w:val="18"/>
              </w:rPr>
              <w:t xml:space="preserve">JPMSE PB </w:t>
            </w:r>
            <w:r>
              <w:rPr>
                <w:sz w:val="18"/>
                <w:szCs w:val="18"/>
              </w:rPr>
              <w:t>deals with both Professional and Retail Clients and</w:t>
            </w:r>
            <w:r w:rsidR="00EC5BE7">
              <w:rPr>
                <w:sz w:val="18"/>
                <w:szCs w:val="18"/>
              </w:rPr>
              <w:t xml:space="preserve"> its Best Execution disclosures</w:t>
            </w:r>
            <w:r>
              <w:rPr>
                <w:sz w:val="18"/>
                <w:szCs w:val="18"/>
              </w:rPr>
              <w:t xml:space="preserve"> can be found</w:t>
            </w:r>
            <w:r w:rsidR="00EC5BE7">
              <w:rPr>
                <w:sz w:val="18"/>
                <w:szCs w:val="18"/>
              </w:rPr>
              <w:t xml:space="preserve"> </w:t>
            </w:r>
            <w:hyperlink r:id="rId10" w:history="1">
              <w:r w:rsidR="00EC5BE7">
                <w:rPr>
                  <w:rStyle w:val="Hyperlink"/>
                  <w:sz w:val="18"/>
                  <w:szCs w:val="18"/>
                </w:rPr>
                <w:t>here</w:t>
              </w:r>
            </w:hyperlink>
            <w:r w:rsidR="00EC5BE7">
              <w:rPr>
                <w:sz w:val="18"/>
                <w:szCs w:val="18"/>
              </w:rPr>
              <w:t>.</w:t>
            </w:r>
          </w:p>
          <w:p w14:paraId="4CAFE19D" w14:textId="10E13E46" w:rsidR="00EC5BE7" w:rsidRPr="00DC5BCA" w:rsidRDefault="00EC5BE7" w:rsidP="00EC5BE7">
            <w:pPr>
              <w:rPr>
                <w:sz w:val="18"/>
                <w:szCs w:val="18"/>
                <w:highlight w:val="yellow"/>
              </w:rPr>
            </w:pPr>
          </w:p>
        </w:tc>
      </w:tr>
      <w:tr w:rsidR="009E7B72" w:rsidRPr="005B09B0" w14:paraId="6411859A" w14:textId="77777777" w:rsidTr="00DC5BCA">
        <w:trPr>
          <w:trHeight w:val="332"/>
        </w:trPr>
        <w:tc>
          <w:tcPr>
            <w:tcW w:w="5163" w:type="dxa"/>
            <w:shd w:val="clear" w:color="auto" w:fill="D9D9D9" w:themeFill="background1" w:themeFillShade="D9"/>
          </w:tcPr>
          <w:p w14:paraId="4A55DD81" w14:textId="77777777" w:rsidR="009E7B72" w:rsidRPr="005B09B0" w:rsidRDefault="009E7B72" w:rsidP="00C11013">
            <w:pPr>
              <w:rPr>
                <w:rFonts w:ascii="Calibri" w:eastAsia="Calibri" w:hAnsi="Calibri" w:cs="Times New Roman"/>
                <w:sz w:val="18"/>
                <w:szCs w:val="18"/>
              </w:rPr>
            </w:pPr>
            <w:r>
              <w:rPr>
                <w:rFonts w:ascii="Calibri" w:eastAsia="Calibri" w:hAnsi="Calibri" w:cs="Times New Roman"/>
                <w:sz w:val="18"/>
                <w:szCs w:val="18"/>
              </w:rPr>
              <w:t>Retail Client Orders</w:t>
            </w:r>
          </w:p>
        </w:tc>
        <w:tc>
          <w:tcPr>
            <w:tcW w:w="9237" w:type="dxa"/>
          </w:tcPr>
          <w:p w14:paraId="5B1F8A82" w14:textId="4B62303C" w:rsidR="009E7B72" w:rsidRPr="00DC5BCA" w:rsidRDefault="00EC5BE7" w:rsidP="00392E4D">
            <w:pPr>
              <w:rPr>
                <w:sz w:val="18"/>
                <w:szCs w:val="18"/>
                <w:highlight w:val="yellow"/>
              </w:rPr>
            </w:pPr>
            <w:r w:rsidRPr="00EC5BE7">
              <w:rPr>
                <w:sz w:val="18"/>
                <w:szCs w:val="18"/>
              </w:rPr>
              <w:t>See above</w:t>
            </w:r>
          </w:p>
        </w:tc>
      </w:tr>
      <w:bookmarkEnd w:id="0"/>
      <w:tr w:rsidR="009E7B72" w:rsidRPr="005B09B0" w14:paraId="62019029" w14:textId="77777777" w:rsidTr="00392E4D">
        <w:tc>
          <w:tcPr>
            <w:tcW w:w="5163" w:type="dxa"/>
            <w:shd w:val="clear" w:color="auto" w:fill="D9D9D9" w:themeFill="background1" w:themeFillShade="D9"/>
          </w:tcPr>
          <w:p w14:paraId="0F3F3FC3" w14:textId="77777777" w:rsidR="009E7B72" w:rsidRPr="005B09B0" w:rsidRDefault="009E7B72" w:rsidP="00C11013">
            <w:pPr>
              <w:rPr>
                <w:rFonts w:ascii="Calibri" w:eastAsia="Calibri" w:hAnsi="Calibri" w:cs="Times New Roman"/>
                <w:sz w:val="18"/>
                <w:szCs w:val="18"/>
              </w:rPr>
            </w:pPr>
            <w:r w:rsidRPr="005B09B0">
              <w:rPr>
                <w:rFonts w:ascii="Calibri" w:eastAsia="Calibri" w:hAnsi="Calibri" w:cs="Times New Roman"/>
                <w:sz w:val="18"/>
                <w:szCs w:val="18"/>
              </w:rPr>
              <w:t>Use of data/tools relating to the quality of execution</w:t>
            </w:r>
          </w:p>
          <w:p w14:paraId="087DD504" w14:textId="77777777" w:rsidR="009E7B72" w:rsidRPr="005B09B0" w:rsidRDefault="009E7B72" w:rsidP="00C11013">
            <w:pPr>
              <w:rPr>
                <w:rFonts w:ascii="Calibri" w:eastAsia="Calibri" w:hAnsi="Calibri" w:cs="Times New Roman"/>
                <w:sz w:val="18"/>
                <w:szCs w:val="18"/>
              </w:rPr>
            </w:pPr>
          </w:p>
        </w:tc>
        <w:tc>
          <w:tcPr>
            <w:tcW w:w="9237" w:type="dxa"/>
          </w:tcPr>
          <w:p w14:paraId="5E619E44" w14:textId="77777777" w:rsidR="009E7B72" w:rsidRPr="00392E4D" w:rsidRDefault="009E7B72" w:rsidP="00392E4D">
            <w:pPr>
              <w:rPr>
                <w:sz w:val="18"/>
                <w:szCs w:val="18"/>
              </w:rPr>
            </w:pPr>
            <w:r w:rsidRPr="00392E4D">
              <w:rPr>
                <w:sz w:val="18"/>
                <w:szCs w:val="18"/>
              </w:rPr>
              <w:t>We have used group-level transaction cost analysis technology in our analysis.</w:t>
            </w:r>
          </w:p>
        </w:tc>
      </w:tr>
      <w:tr w:rsidR="009E7B72" w:rsidRPr="005B09B0" w14:paraId="167E3BF6" w14:textId="77777777" w:rsidTr="00392E4D">
        <w:tc>
          <w:tcPr>
            <w:tcW w:w="5163" w:type="dxa"/>
            <w:shd w:val="clear" w:color="auto" w:fill="D9D9D9" w:themeFill="background1" w:themeFillShade="D9"/>
          </w:tcPr>
          <w:p w14:paraId="71045F97" w14:textId="77777777" w:rsidR="009E7B72" w:rsidRPr="005B09B0" w:rsidRDefault="009E7B72" w:rsidP="00C11013">
            <w:pPr>
              <w:rPr>
                <w:rFonts w:ascii="Calibri" w:eastAsia="Calibri" w:hAnsi="Calibri" w:cs="Times New Roman"/>
                <w:sz w:val="18"/>
                <w:szCs w:val="18"/>
              </w:rPr>
            </w:pPr>
            <w:r w:rsidRPr="005B09B0">
              <w:rPr>
                <w:rFonts w:ascii="Calibri" w:eastAsia="Calibri" w:hAnsi="Calibri" w:cs="Times New Roman"/>
                <w:sz w:val="18"/>
                <w:szCs w:val="18"/>
              </w:rPr>
              <w:t>Use of consolidated tape provider output or other algorithms to assess execution performances</w:t>
            </w:r>
          </w:p>
        </w:tc>
        <w:tc>
          <w:tcPr>
            <w:tcW w:w="9237" w:type="dxa"/>
          </w:tcPr>
          <w:p w14:paraId="4FD416DF" w14:textId="77777777" w:rsidR="009E7B72" w:rsidRPr="00392E4D" w:rsidRDefault="009E7B72" w:rsidP="00392E4D">
            <w:pPr>
              <w:rPr>
                <w:sz w:val="18"/>
                <w:szCs w:val="18"/>
              </w:rPr>
            </w:pPr>
            <w:r w:rsidRPr="00392E4D">
              <w:rPr>
                <w:sz w:val="18"/>
                <w:szCs w:val="18"/>
              </w:rPr>
              <w:t>Not Applicable</w:t>
            </w:r>
          </w:p>
        </w:tc>
      </w:tr>
    </w:tbl>
    <w:p w14:paraId="358EDC8B" w14:textId="449B57B3" w:rsidR="00C05144" w:rsidRDefault="00C05144">
      <w:pPr>
        <w:rPr>
          <w:sz w:val="18"/>
          <w:szCs w:val="18"/>
        </w:rPr>
      </w:pPr>
    </w:p>
    <w:p w14:paraId="168058E1" w14:textId="54DE63F6" w:rsidR="00581B92" w:rsidRDefault="00581B92">
      <w:pPr>
        <w:rPr>
          <w:sz w:val="18"/>
          <w:szCs w:val="18"/>
        </w:rPr>
      </w:pPr>
    </w:p>
    <w:p w14:paraId="72ADC55B" w14:textId="573BEC90" w:rsidR="00774137" w:rsidRDefault="00774137">
      <w:pPr>
        <w:rPr>
          <w:sz w:val="18"/>
          <w:szCs w:val="18"/>
        </w:rPr>
      </w:pPr>
      <w:r>
        <w:rPr>
          <w:sz w:val="18"/>
          <w:szCs w:val="18"/>
        </w:rPr>
        <w:br w:type="page"/>
      </w:r>
    </w:p>
    <w:tbl>
      <w:tblPr>
        <w:tblW w:w="14490" w:type="dxa"/>
        <w:tblInd w:w="-285" w:type="dxa"/>
        <w:tblCellMar>
          <w:left w:w="0" w:type="dxa"/>
          <w:right w:w="0" w:type="dxa"/>
        </w:tblCellMar>
        <w:tblLook w:val="04A0" w:firstRow="1" w:lastRow="0" w:firstColumn="1" w:lastColumn="0" w:noHBand="0" w:noVBand="1"/>
      </w:tblPr>
      <w:tblGrid>
        <w:gridCol w:w="5130"/>
        <w:gridCol w:w="9360"/>
      </w:tblGrid>
      <w:tr w:rsidR="00774137" w:rsidRPr="00AA2F92" w14:paraId="4EEF498F" w14:textId="77777777" w:rsidTr="00764C2D">
        <w:trPr>
          <w:trHeight w:val="279"/>
        </w:trPr>
        <w:tc>
          <w:tcPr>
            <w:tcW w:w="5130" w:type="dxa"/>
            <w:tcBorders>
              <w:top w:val="single" w:sz="12" w:space="0" w:color="000000"/>
              <w:left w:val="single" w:sz="12" w:space="0" w:color="000000"/>
              <w:bottom w:val="single" w:sz="12" w:space="0" w:color="000000"/>
              <w:right w:val="single" w:sz="8" w:space="0" w:color="000000"/>
            </w:tcBorders>
            <w:shd w:val="clear" w:color="auto" w:fill="D9D9D9"/>
            <w:tcMar>
              <w:top w:w="15" w:type="dxa"/>
              <w:left w:w="92" w:type="dxa"/>
              <w:bottom w:w="0" w:type="dxa"/>
              <w:right w:w="92" w:type="dxa"/>
            </w:tcMar>
            <w:hideMark/>
          </w:tcPr>
          <w:p w14:paraId="6D2114C5" w14:textId="77777777" w:rsidR="00774137" w:rsidRPr="00AA2F92" w:rsidRDefault="00774137" w:rsidP="00785F60">
            <w:pPr>
              <w:rPr>
                <w:sz w:val="18"/>
                <w:szCs w:val="18"/>
              </w:rPr>
            </w:pPr>
            <w:r w:rsidRPr="00AA2F92">
              <w:rPr>
                <w:sz w:val="18"/>
                <w:szCs w:val="18"/>
              </w:rPr>
              <w:lastRenderedPageBreak/>
              <w:t>Legal Entity</w:t>
            </w:r>
          </w:p>
        </w:tc>
        <w:tc>
          <w:tcPr>
            <w:tcW w:w="936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92" w:type="dxa"/>
              <w:bottom w:w="0" w:type="dxa"/>
              <w:right w:w="92" w:type="dxa"/>
            </w:tcMar>
            <w:hideMark/>
          </w:tcPr>
          <w:p w14:paraId="2926C20E" w14:textId="2AF1652A" w:rsidR="00774137" w:rsidRPr="00AA2F92" w:rsidRDefault="00774137" w:rsidP="00785F60">
            <w:pPr>
              <w:rPr>
                <w:sz w:val="18"/>
                <w:szCs w:val="18"/>
              </w:rPr>
            </w:pPr>
            <w:r w:rsidRPr="00AA2F92">
              <w:rPr>
                <w:sz w:val="18"/>
                <w:szCs w:val="18"/>
              </w:rPr>
              <w:t xml:space="preserve">J.P. Morgan </w:t>
            </w:r>
            <w:r>
              <w:rPr>
                <w:sz w:val="18"/>
                <w:szCs w:val="18"/>
              </w:rPr>
              <w:t>SE</w:t>
            </w:r>
            <w:r w:rsidRPr="00AA2F92">
              <w:rPr>
                <w:sz w:val="18"/>
                <w:szCs w:val="18"/>
              </w:rPr>
              <w:t xml:space="preserve"> (549300ZK53CNGEEI6A</w:t>
            </w:r>
            <w:proofErr w:type="gramStart"/>
            <w:r w:rsidRPr="00AA2F92">
              <w:rPr>
                <w:sz w:val="18"/>
                <w:szCs w:val="18"/>
              </w:rPr>
              <w:t>29)</w:t>
            </w:r>
            <w:r w:rsidR="005153BC">
              <w:rPr>
                <w:sz w:val="18"/>
                <w:szCs w:val="18"/>
              </w:rPr>
              <w:t>*</w:t>
            </w:r>
            <w:proofErr w:type="gramEnd"/>
          </w:p>
        </w:tc>
      </w:tr>
      <w:tr w:rsidR="00774137" w:rsidRPr="00AA2F92" w14:paraId="3C96A486" w14:textId="77777777" w:rsidTr="00764C2D">
        <w:trPr>
          <w:trHeight w:val="422"/>
        </w:trPr>
        <w:tc>
          <w:tcPr>
            <w:tcW w:w="5130" w:type="dxa"/>
            <w:tcBorders>
              <w:top w:val="single" w:sz="12" w:space="0" w:color="000000"/>
              <w:left w:val="single" w:sz="12" w:space="0" w:color="000000"/>
              <w:bottom w:val="single" w:sz="12" w:space="0" w:color="000000"/>
              <w:right w:val="single" w:sz="8" w:space="0" w:color="000000"/>
            </w:tcBorders>
            <w:shd w:val="clear" w:color="auto" w:fill="D9D9D9"/>
            <w:tcMar>
              <w:top w:w="15" w:type="dxa"/>
              <w:left w:w="92" w:type="dxa"/>
              <w:bottom w:w="0" w:type="dxa"/>
              <w:right w:w="92" w:type="dxa"/>
            </w:tcMar>
            <w:hideMark/>
          </w:tcPr>
          <w:p w14:paraId="4CE5CED0" w14:textId="77777777" w:rsidR="00774137" w:rsidRPr="00AA2F92" w:rsidRDefault="00774137" w:rsidP="00785F60">
            <w:pPr>
              <w:rPr>
                <w:sz w:val="18"/>
                <w:szCs w:val="18"/>
              </w:rPr>
            </w:pPr>
            <w:r w:rsidRPr="00AA2F92">
              <w:rPr>
                <w:sz w:val="18"/>
                <w:szCs w:val="18"/>
              </w:rPr>
              <w:t>Class of Instrument</w:t>
            </w:r>
          </w:p>
        </w:tc>
        <w:tc>
          <w:tcPr>
            <w:tcW w:w="936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92" w:type="dxa"/>
              <w:bottom w:w="0" w:type="dxa"/>
              <w:right w:w="92" w:type="dxa"/>
            </w:tcMar>
            <w:hideMark/>
          </w:tcPr>
          <w:p w14:paraId="273BCF91" w14:textId="77777777" w:rsidR="00774137" w:rsidRPr="00AA2F92" w:rsidRDefault="00774137" w:rsidP="00785F60">
            <w:pPr>
              <w:rPr>
                <w:sz w:val="18"/>
                <w:szCs w:val="18"/>
              </w:rPr>
            </w:pPr>
            <w:r w:rsidRPr="00AA2F92">
              <w:rPr>
                <w:sz w:val="18"/>
                <w:szCs w:val="18"/>
              </w:rPr>
              <w:t xml:space="preserve">Futures and options admitted to trading on a trading venue (Interest rates derivatives, equity derivatives, commodities </w:t>
            </w:r>
            <w:proofErr w:type="gramStart"/>
            <w:r w:rsidRPr="00AA2F92">
              <w:rPr>
                <w:sz w:val="18"/>
                <w:szCs w:val="18"/>
              </w:rPr>
              <w:t>derivatives</w:t>
            </w:r>
            <w:proofErr w:type="gramEnd"/>
            <w:r w:rsidRPr="00AA2F92">
              <w:rPr>
                <w:sz w:val="18"/>
                <w:szCs w:val="18"/>
              </w:rPr>
              <w:t xml:space="preserve"> and emission allowances derivatives)</w:t>
            </w:r>
          </w:p>
        </w:tc>
      </w:tr>
      <w:tr w:rsidR="00774137" w:rsidRPr="00AA2F92" w14:paraId="7E8C7C92" w14:textId="77777777" w:rsidTr="00764C2D">
        <w:trPr>
          <w:trHeight w:val="211"/>
        </w:trPr>
        <w:tc>
          <w:tcPr>
            <w:tcW w:w="14490" w:type="dxa"/>
            <w:gridSpan w:val="2"/>
            <w:tcBorders>
              <w:top w:val="single" w:sz="12" w:space="0" w:color="000000"/>
              <w:left w:val="single" w:sz="12" w:space="0" w:color="000000"/>
              <w:bottom w:val="single" w:sz="8" w:space="0" w:color="000000"/>
              <w:right w:val="single" w:sz="12" w:space="0" w:color="000000"/>
            </w:tcBorders>
            <w:shd w:val="clear" w:color="auto" w:fill="D9D9D9"/>
            <w:tcMar>
              <w:top w:w="15" w:type="dxa"/>
              <w:left w:w="92" w:type="dxa"/>
              <w:bottom w:w="0" w:type="dxa"/>
              <w:right w:w="92" w:type="dxa"/>
            </w:tcMar>
            <w:hideMark/>
          </w:tcPr>
          <w:p w14:paraId="7A328104" w14:textId="77777777" w:rsidR="00774137" w:rsidRPr="00AA2F92" w:rsidRDefault="00774137" w:rsidP="00785F60">
            <w:pPr>
              <w:rPr>
                <w:sz w:val="18"/>
                <w:szCs w:val="18"/>
              </w:rPr>
            </w:pPr>
            <w:r w:rsidRPr="00AA2F92">
              <w:rPr>
                <w:sz w:val="18"/>
                <w:szCs w:val="18"/>
              </w:rPr>
              <w:t>Summary of Analysis</w:t>
            </w:r>
          </w:p>
        </w:tc>
      </w:tr>
      <w:tr w:rsidR="00774137" w:rsidRPr="00AA2F92" w14:paraId="193340A1" w14:textId="77777777" w:rsidTr="00764C2D">
        <w:trPr>
          <w:trHeight w:val="997"/>
        </w:trPr>
        <w:tc>
          <w:tcPr>
            <w:tcW w:w="14490" w:type="dxa"/>
            <w:gridSpan w:val="2"/>
            <w:tcBorders>
              <w:top w:val="single" w:sz="8" w:space="0" w:color="000000"/>
              <w:left w:val="single" w:sz="12"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6E93F2A2" w14:textId="77777777" w:rsidR="00774137" w:rsidRPr="00AA2F92" w:rsidRDefault="00774137" w:rsidP="00785F60">
            <w:pPr>
              <w:rPr>
                <w:sz w:val="18"/>
                <w:szCs w:val="18"/>
              </w:rPr>
            </w:pPr>
            <w:r w:rsidRPr="00AA2F92">
              <w:rPr>
                <w:sz w:val="18"/>
                <w:szCs w:val="18"/>
              </w:rPr>
              <w:t xml:space="preserve">The Futures and Options admitted to trading on a trading venue that have been subject to Best Execution are products described in the </w:t>
            </w:r>
            <w:hyperlink r:id="rId11" w:history="1">
              <w:r w:rsidRPr="009143F1">
                <w:rPr>
                  <w:rStyle w:val="Hyperlink"/>
                  <w:sz w:val="18"/>
                  <w:szCs w:val="18"/>
                </w:rPr>
                <w:t>Appendix 3</w:t>
              </w:r>
              <w:r w:rsidRPr="00AA2F92">
                <w:rPr>
                  <w:rStyle w:val="Hyperlink"/>
                  <w:color w:val="0066FF"/>
                  <w:sz w:val="18"/>
                  <w:szCs w:val="18"/>
                </w:rPr>
                <w:t xml:space="preserve"> </w:t>
              </w:r>
            </w:hyperlink>
            <w:r w:rsidRPr="00AA2F92">
              <w:rPr>
                <w:sz w:val="18"/>
                <w:szCs w:val="18"/>
              </w:rPr>
              <w:t xml:space="preserve">of the  J.P. Morgan Execution Policy. </w:t>
            </w:r>
          </w:p>
          <w:p w14:paraId="3CD02BF6" w14:textId="77777777" w:rsidR="00774137" w:rsidRPr="00AA2F92" w:rsidRDefault="00774137" w:rsidP="00785F60">
            <w:pPr>
              <w:rPr>
                <w:sz w:val="18"/>
                <w:szCs w:val="18"/>
              </w:rPr>
            </w:pPr>
            <w:r w:rsidRPr="00AA2F92">
              <w:rPr>
                <w:sz w:val="18"/>
                <w:szCs w:val="18"/>
              </w:rPr>
              <w:t xml:space="preserve"> J.P. Morgan </w:t>
            </w:r>
            <w:r>
              <w:rPr>
                <w:sz w:val="18"/>
                <w:szCs w:val="18"/>
              </w:rPr>
              <w:t>SE</w:t>
            </w:r>
            <w:r w:rsidRPr="00AA2F92">
              <w:rPr>
                <w:sz w:val="18"/>
                <w:szCs w:val="18"/>
              </w:rPr>
              <w:t xml:space="preserve"> monitored Best Execution in Futures and Options admitted to a trading venue on a regular basis, through post trade controls. The results of this analysis were reviewed by J.P. Morgan management and control functions.  J.P. Morgan </w:t>
            </w:r>
            <w:r>
              <w:rPr>
                <w:sz w:val="18"/>
                <w:szCs w:val="18"/>
              </w:rPr>
              <w:t>SE</w:t>
            </w:r>
            <w:r w:rsidRPr="00AA2F92">
              <w:rPr>
                <w:sz w:val="18"/>
                <w:szCs w:val="18"/>
              </w:rPr>
              <w:t xml:space="preserve"> regularly reviews the post trade controls to ensure that these continue to be relevant and where possible enhanced to ensure Best Execution obligations are met. Best Execution monitoring results were in line with J.P. Morgan </w:t>
            </w:r>
            <w:r>
              <w:rPr>
                <w:sz w:val="18"/>
                <w:szCs w:val="18"/>
              </w:rPr>
              <w:t>SE</w:t>
            </w:r>
            <w:r w:rsidRPr="00AA2F92">
              <w:rPr>
                <w:sz w:val="18"/>
                <w:szCs w:val="18"/>
              </w:rPr>
              <w:t xml:space="preserve"> expectations</w:t>
            </w:r>
            <w:r w:rsidRPr="00AA2F92">
              <w:rPr>
                <w:b/>
                <w:bCs/>
                <w:sz w:val="18"/>
                <w:szCs w:val="18"/>
              </w:rPr>
              <w:t>.</w:t>
            </w:r>
          </w:p>
        </w:tc>
      </w:tr>
      <w:tr w:rsidR="00774137" w:rsidRPr="00AA2F92" w14:paraId="435C183D" w14:textId="77777777" w:rsidTr="00764C2D">
        <w:trPr>
          <w:trHeight w:val="1055"/>
        </w:trPr>
        <w:tc>
          <w:tcPr>
            <w:tcW w:w="513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5E43262C" w14:textId="77777777" w:rsidR="00774137" w:rsidRPr="00AA2F92" w:rsidRDefault="00774137" w:rsidP="00785F60">
            <w:pPr>
              <w:rPr>
                <w:sz w:val="18"/>
                <w:szCs w:val="18"/>
              </w:rPr>
            </w:pPr>
            <w:r w:rsidRPr="00AA2F92">
              <w:rPr>
                <w:sz w:val="18"/>
                <w:szCs w:val="18"/>
              </w:rPr>
              <w:t>Relative importance given to execution factors &amp; other considerations</w:t>
            </w:r>
          </w:p>
        </w:tc>
        <w:tc>
          <w:tcPr>
            <w:tcW w:w="936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511C3CFA" w14:textId="77777777" w:rsidR="00774137" w:rsidRPr="00AA2F92" w:rsidRDefault="00774137" w:rsidP="00785F60">
            <w:pPr>
              <w:rPr>
                <w:sz w:val="18"/>
                <w:szCs w:val="18"/>
              </w:rPr>
            </w:pPr>
            <w:r w:rsidRPr="00AA2F92">
              <w:rPr>
                <w:sz w:val="18"/>
                <w:szCs w:val="18"/>
                <w:lang w:val="en-US"/>
              </w:rPr>
              <w:t>As per</w:t>
            </w:r>
            <w:r w:rsidRPr="00AA2F92">
              <w:rPr>
                <w:color w:val="0066FF"/>
                <w:sz w:val="18"/>
                <w:szCs w:val="18"/>
                <w:lang w:val="en-US"/>
              </w:rPr>
              <w:t xml:space="preserve"> </w:t>
            </w:r>
            <w:hyperlink r:id="rId12" w:history="1">
              <w:r>
                <w:rPr>
                  <w:rStyle w:val="Hyperlink"/>
                  <w:sz w:val="18"/>
                  <w:szCs w:val="18"/>
                  <w:lang w:val="en-US"/>
                </w:rPr>
                <w:t>J.P. Morgan EMEA Exchange Traded Derivatives (ETD): Execution Policy Appendix 3</w:t>
              </w:r>
            </w:hyperlink>
            <w:hyperlink r:id="rId13" w:history="1">
              <w:r w:rsidRPr="00AA2F92">
                <w:rPr>
                  <w:rStyle w:val="Hyperlink"/>
                  <w:sz w:val="18"/>
                  <w:szCs w:val="18"/>
                  <w:lang w:val="en-US"/>
                </w:rPr>
                <w:t xml:space="preserve"> </w:t>
              </w:r>
            </w:hyperlink>
            <w:r w:rsidRPr="00AA2F92">
              <w:rPr>
                <w:sz w:val="18"/>
                <w:szCs w:val="18"/>
                <w:lang w:val="en-US"/>
              </w:rPr>
              <w:t xml:space="preserve">of the J.P. Morgan Execution Policy, J.P. Morgan </w:t>
            </w:r>
            <w:r>
              <w:rPr>
                <w:sz w:val="18"/>
                <w:szCs w:val="18"/>
                <w:lang w:val="en-US"/>
              </w:rPr>
              <w:t>SE</w:t>
            </w:r>
            <w:r w:rsidRPr="00AA2F92">
              <w:rPr>
                <w:sz w:val="18"/>
                <w:szCs w:val="18"/>
                <w:lang w:val="en-US"/>
              </w:rPr>
              <w:t xml:space="preserve"> considers a number of factors when executing client Futures and Options orders (e.g. price, speed, likelihood of execution, size and costs). Depending on the order type and the instructions that a client provides to J.P Morgan, certain factors may be deemed to be more important than others.  The execution strategy employed will </w:t>
            </w:r>
            <w:proofErr w:type="gramStart"/>
            <w:r w:rsidRPr="00AA2F92">
              <w:rPr>
                <w:sz w:val="18"/>
                <w:szCs w:val="18"/>
                <w:lang w:val="en-US"/>
              </w:rPr>
              <w:t>take into account</w:t>
            </w:r>
            <w:proofErr w:type="gramEnd"/>
            <w:r w:rsidRPr="00AA2F92">
              <w:rPr>
                <w:sz w:val="18"/>
                <w:szCs w:val="18"/>
                <w:lang w:val="en-US"/>
              </w:rPr>
              <w:t xml:space="preserve"> all the information provided to us by the client, together with our knowledge of the relevant instrument and the market in which the client is seeking to execute.</w:t>
            </w:r>
          </w:p>
        </w:tc>
      </w:tr>
      <w:tr w:rsidR="00774137" w:rsidRPr="00AA2F92" w14:paraId="661256F0" w14:textId="77777777" w:rsidTr="00764C2D">
        <w:trPr>
          <w:trHeight w:val="422"/>
        </w:trPr>
        <w:tc>
          <w:tcPr>
            <w:tcW w:w="513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3F1AB8B2" w14:textId="77777777" w:rsidR="00774137" w:rsidRPr="00AA2F92" w:rsidRDefault="00774137" w:rsidP="00785F60">
            <w:pPr>
              <w:rPr>
                <w:sz w:val="18"/>
                <w:szCs w:val="18"/>
              </w:rPr>
            </w:pPr>
            <w:r w:rsidRPr="00AA2F92">
              <w:rPr>
                <w:sz w:val="18"/>
                <w:szCs w:val="18"/>
              </w:rPr>
              <w:t>Execution venue close links / conflicts of interest / common ownerships</w:t>
            </w:r>
          </w:p>
        </w:tc>
        <w:tc>
          <w:tcPr>
            <w:tcW w:w="936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7F2C6B03" w14:textId="77777777" w:rsidR="00774137" w:rsidRPr="00AA2F92" w:rsidRDefault="00774137" w:rsidP="00785F60">
            <w:pPr>
              <w:rPr>
                <w:sz w:val="18"/>
                <w:szCs w:val="18"/>
              </w:rPr>
            </w:pPr>
            <w:r w:rsidRPr="00AA2F92">
              <w:rPr>
                <w:sz w:val="18"/>
                <w:szCs w:val="18"/>
              </w:rPr>
              <w:t xml:space="preserve">J.P. Morgan </w:t>
            </w:r>
            <w:r>
              <w:rPr>
                <w:sz w:val="18"/>
                <w:szCs w:val="18"/>
              </w:rPr>
              <w:t>SE</w:t>
            </w:r>
            <w:r w:rsidRPr="00AA2F92">
              <w:rPr>
                <w:sz w:val="18"/>
                <w:szCs w:val="18"/>
              </w:rPr>
              <w:t xml:space="preserve"> is a fully owned subsidiary of JPMorgan Chase &amp; Co.</w:t>
            </w:r>
          </w:p>
        </w:tc>
      </w:tr>
      <w:tr w:rsidR="00774137" w:rsidRPr="00AA2F92" w14:paraId="69862402" w14:textId="77777777" w:rsidTr="00764C2D">
        <w:trPr>
          <w:trHeight w:val="895"/>
        </w:trPr>
        <w:tc>
          <w:tcPr>
            <w:tcW w:w="513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689E10F9" w14:textId="77777777" w:rsidR="00774137" w:rsidRPr="00AA2F92" w:rsidRDefault="00774137" w:rsidP="00785F60">
            <w:pPr>
              <w:rPr>
                <w:sz w:val="18"/>
                <w:szCs w:val="18"/>
              </w:rPr>
            </w:pPr>
            <w:r w:rsidRPr="00AA2F92">
              <w:rPr>
                <w:sz w:val="18"/>
                <w:szCs w:val="18"/>
              </w:rPr>
              <w:t>Specific execution venue arrangements</w:t>
            </w:r>
          </w:p>
        </w:tc>
        <w:tc>
          <w:tcPr>
            <w:tcW w:w="936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12FE0DDB" w14:textId="77777777" w:rsidR="00774137" w:rsidRPr="00AA2F92" w:rsidRDefault="00774137" w:rsidP="00785F60">
            <w:pPr>
              <w:rPr>
                <w:sz w:val="18"/>
                <w:szCs w:val="18"/>
              </w:rPr>
            </w:pPr>
            <w:r w:rsidRPr="00AA2F92">
              <w:rPr>
                <w:sz w:val="18"/>
                <w:szCs w:val="18"/>
              </w:rPr>
              <w:t>Regarding payments made or received, discounts, rebates or non-monetary benefits received:</w:t>
            </w:r>
          </w:p>
          <w:p w14:paraId="37664587" w14:textId="77777777" w:rsidR="00774137" w:rsidRPr="00AA2F92" w:rsidRDefault="00774137" w:rsidP="00785F60">
            <w:pPr>
              <w:rPr>
                <w:sz w:val="18"/>
                <w:szCs w:val="18"/>
              </w:rPr>
            </w:pPr>
            <w:r w:rsidRPr="00AA2F92">
              <w:rPr>
                <w:sz w:val="18"/>
                <w:szCs w:val="18"/>
              </w:rPr>
              <w:t xml:space="preserve">J.P. Morgan </w:t>
            </w:r>
            <w:r>
              <w:rPr>
                <w:sz w:val="18"/>
                <w:szCs w:val="18"/>
              </w:rPr>
              <w:t>SE</w:t>
            </w:r>
            <w:r w:rsidRPr="00AA2F92">
              <w:rPr>
                <w:sz w:val="18"/>
                <w:szCs w:val="18"/>
              </w:rPr>
              <w:t xml:space="preserve"> does not have any specific arrangements with any trading venues other than standard publicly available terms.  Where J.P. Morgan </w:t>
            </w:r>
            <w:r>
              <w:rPr>
                <w:sz w:val="18"/>
                <w:szCs w:val="18"/>
              </w:rPr>
              <w:t>SE</w:t>
            </w:r>
            <w:r w:rsidRPr="00AA2F92">
              <w:rPr>
                <w:sz w:val="18"/>
                <w:szCs w:val="18"/>
              </w:rPr>
              <w:t xml:space="preserve"> contracts with execution venues, it may negotiate specific commercial terms bilaterally with those </w:t>
            </w:r>
            <w:proofErr w:type="gramStart"/>
            <w:r w:rsidRPr="00AA2F92">
              <w:rPr>
                <w:sz w:val="18"/>
                <w:szCs w:val="18"/>
              </w:rPr>
              <w:t>venues</w:t>
            </w:r>
            <w:proofErr w:type="gramEnd"/>
            <w:r w:rsidRPr="00AA2F92">
              <w:rPr>
                <w:sz w:val="18"/>
                <w:szCs w:val="18"/>
              </w:rPr>
              <w:t xml:space="preserve"> but those terms will not include being compensated directly or in-directly for business given to those venues.</w:t>
            </w:r>
          </w:p>
        </w:tc>
      </w:tr>
      <w:tr w:rsidR="00774137" w:rsidRPr="00AA2F92" w14:paraId="3236B3F2" w14:textId="77777777" w:rsidTr="00764C2D">
        <w:trPr>
          <w:trHeight w:val="313"/>
        </w:trPr>
        <w:tc>
          <w:tcPr>
            <w:tcW w:w="513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5A204401" w14:textId="77777777" w:rsidR="00774137" w:rsidRPr="00AA2F92" w:rsidRDefault="00774137" w:rsidP="00785F60">
            <w:pPr>
              <w:rPr>
                <w:sz w:val="18"/>
                <w:szCs w:val="18"/>
              </w:rPr>
            </w:pPr>
            <w:r w:rsidRPr="00AA2F92">
              <w:rPr>
                <w:sz w:val="18"/>
                <w:szCs w:val="18"/>
              </w:rPr>
              <w:t>Changes to execution venues</w:t>
            </w:r>
          </w:p>
        </w:tc>
        <w:tc>
          <w:tcPr>
            <w:tcW w:w="936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22DDCE0E" w14:textId="77777777" w:rsidR="00774137" w:rsidRPr="00C06819" w:rsidRDefault="00774137" w:rsidP="00785F60">
            <w:pPr>
              <w:rPr>
                <w:sz w:val="18"/>
                <w:szCs w:val="18"/>
              </w:rPr>
            </w:pPr>
            <w:r w:rsidRPr="00C06819">
              <w:rPr>
                <w:sz w:val="18"/>
                <w:szCs w:val="18"/>
              </w:rPr>
              <w:t>For F&amp;O Commodities, Eurex Deutschland (XEUR) trading venue has replaced NASDAQ OMX Commodities (NORX) trading venues in the Top 5 Execution venues, as at NASDAQ only Nord Pool is traded and in small volume.</w:t>
            </w:r>
          </w:p>
        </w:tc>
      </w:tr>
      <w:tr w:rsidR="00052E11" w:rsidRPr="00AA2F92" w14:paraId="3A179788" w14:textId="77777777" w:rsidTr="00764C2D">
        <w:trPr>
          <w:trHeight w:val="211"/>
        </w:trPr>
        <w:tc>
          <w:tcPr>
            <w:tcW w:w="513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77A221FA" w14:textId="77777777" w:rsidR="00052E11" w:rsidRPr="00AA2F92" w:rsidRDefault="00052E11" w:rsidP="00052E11">
            <w:pPr>
              <w:rPr>
                <w:sz w:val="18"/>
                <w:szCs w:val="18"/>
              </w:rPr>
            </w:pPr>
            <w:r w:rsidRPr="00AA2F92">
              <w:rPr>
                <w:sz w:val="18"/>
                <w:szCs w:val="18"/>
              </w:rPr>
              <w:t>Client distinctions</w:t>
            </w:r>
          </w:p>
        </w:tc>
        <w:tc>
          <w:tcPr>
            <w:tcW w:w="936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4E977EDE" w14:textId="77777777" w:rsidR="00052E11" w:rsidRDefault="00052E11" w:rsidP="00052E11">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24EAEAEF" w14:textId="77777777" w:rsidR="00052E11" w:rsidRDefault="00052E11" w:rsidP="00052E11">
            <w:pPr>
              <w:spacing w:after="120"/>
              <w:rPr>
                <w:sz w:val="18"/>
                <w:szCs w:val="18"/>
              </w:rPr>
            </w:pPr>
            <w:r>
              <w:rPr>
                <w:sz w:val="18"/>
                <w:szCs w:val="18"/>
              </w:rPr>
              <w:lastRenderedPageBreak/>
              <w:t xml:space="preserve">JPMSE CIB only deals with Professional Clients. </w:t>
            </w:r>
          </w:p>
          <w:p w14:paraId="21FE7693" w14:textId="32DCCE9E" w:rsidR="00052E11" w:rsidRPr="00AA2F92" w:rsidRDefault="00052E11" w:rsidP="00052E11">
            <w:pPr>
              <w:rPr>
                <w:sz w:val="18"/>
                <w:szCs w:val="18"/>
              </w:rPr>
            </w:pPr>
            <w:r>
              <w:rPr>
                <w:sz w:val="18"/>
                <w:szCs w:val="18"/>
              </w:rPr>
              <w:t xml:space="preserve">However, JPMSE PB deals with both Professional and Retail Clients and its Best Execution disclosures can be found </w:t>
            </w:r>
            <w:hyperlink r:id="rId14" w:history="1">
              <w:r>
                <w:rPr>
                  <w:rStyle w:val="Hyperlink"/>
                  <w:sz w:val="18"/>
                  <w:szCs w:val="18"/>
                </w:rPr>
                <w:t>here</w:t>
              </w:r>
            </w:hyperlink>
            <w:r>
              <w:rPr>
                <w:sz w:val="18"/>
                <w:szCs w:val="18"/>
              </w:rPr>
              <w:t>.</w:t>
            </w:r>
          </w:p>
        </w:tc>
      </w:tr>
      <w:tr w:rsidR="00052E11" w:rsidRPr="00AA2F92" w14:paraId="554352B1" w14:textId="77777777" w:rsidTr="00764C2D">
        <w:trPr>
          <w:trHeight w:val="211"/>
        </w:trPr>
        <w:tc>
          <w:tcPr>
            <w:tcW w:w="513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tcPr>
          <w:p w14:paraId="45716554" w14:textId="73CC5F33" w:rsidR="00052E11" w:rsidRPr="00AA2F92" w:rsidRDefault="00052E11" w:rsidP="00052E11">
            <w:pPr>
              <w:rPr>
                <w:sz w:val="18"/>
                <w:szCs w:val="18"/>
              </w:rPr>
            </w:pPr>
            <w:r>
              <w:rPr>
                <w:rFonts w:ascii="Calibri" w:eastAsia="Calibri" w:hAnsi="Calibri" w:cs="Times New Roman"/>
                <w:sz w:val="18"/>
                <w:szCs w:val="18"/>
              </w:rPr>
              <w:lastRenderedPageBreak/>
              <w:t>Retail Client Orders</w:t>
            </w:r>
          </w:p>
        </w:tc>
        <w:tc>
          <w:tcPr>
            <w:tcW w:w="936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tcPr>
          <w:p w14:paraId="2A493357" w14:textId="492A911B" w:rsidR="00052E11" w:rsidRPr="00AA2F92" w:rsidRDefault="00052E11" w:rsidP="00052E11">
            <w:pPr>
              <w:rPr>
                <w:sz w:val="18"/>
                <w:szCs w:val="18"/>
              </w:rPr>
            </w:pPr>
            <w:r>
              <w:rPr>
                <w:sz w:val="18"/>
                <w:szCs w:val="18"/>
              </w:rPr>
              <w:t>See above</w:t>
            </w:r>
          </w:p>
        </w:tc>
      </w:tr>
      <w:tr w:rsidR="00052E11" w:rsidRPr="00AA2F92" w14:paraId="3A285C58" w14:textId="77777777" w:rsidTr="00764C2D">
        <w:trPr>
          <w:trHeight w:val="844"/>
        </w:trPr>
        <w:tc>
          <w:tcPr>
            <w:tcW w:w="513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361D03BD" w14:textId="77777777" w:rsidR="00052E11" w:rsidRPr="00AA2F92" w:rsidRDefault="00052E11" w:rsidP="00052E11">
            <w:pPr>
              <w:rPr>
                <w:sz w:val="18"/>
                <w:szCs w:val="18"/>
              </w:rPr>
            </w:pPr>
            <w:r w:rsidRPr="00AA2F92">
              <w:rPr>
                <w:sz w:val="18"/>
                <w:szCs w:val="18"/>
              </w:rPr>
              <w:t>Precedence over immediate price and cost when executing retail client orders and how these other criteria were instrumental in delivering the best possible result in terms of the total consideration to the client</w:t>
            </w:r>
          </w:p>
        </w:tc>
        <w:tc>
          <w:tcPr>
            <w:tcW w:w="936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12254081" w14:textId="77777777" w:rsidR="00052E11" w:rsidRPr="00AA2F92" w:rsidRDefault="00052E11" w:rsidP="00052E11">
            <w:pPr>
              <w:rPr>
                <w:sz w:val="18"/>
                <w:szCs w:val="18"/>
              </w:rPr>
            </w:pPr>
            <w:r w:rsidRPr="00AA2F92">
              <w:rPr>
                <w:sz w:val="18"/>
                <w:szCs w:val="18"/>
              </w:rPr>
              <w:t>Not Applicable</w:t>
            </w:r>
          </w:p>
        </w:tc>
      </w:tr>
      <w:tr w:rsidR="00052E11" w:rsidRPr="00AA2F92" w14:paraId="15C74371" w14:textId="77777777" w:rsidTr="00764C2D">
        <w:trPr>
          <w:trHeight w:val="1477"/>
        </w:trPr>
        <w:tc>
          <w:tcPr>
            <w:tcW w:w="513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396B80BF" w14:textId="77777777" w:rsidR="00052E11" w:rsidRPr="00AA2F92" w:rsidRDefault="00052E11" w:rsidP="00052E11">
            <w:pPr>
              <w:rPr>
                <w:sz w:val="18"/>
                <w:szCs w:val="18"/>
              </w:rPr>
            </w:pPr>
            <w:r w:rsidRPr="00AA2F92">
              <w:rPr>
                <w:sz w:val="18"/>
                <w:szCs w:val="18"/>
              </w:rPr>
              <w:t>Use of data/tools relating to the quality of execution</w:t>
            </w:r>
          </w:p>
        </w:tc>
        <w:tc>
          <w:tcPr>
            <w:tcW w:w="936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6C3704FD" w14:textId="77777777" w:rsidR="00052E11" w:rsidRPr="00AA2F92" w:rsidRDefault="00052E11" w:rsidP="00052E11">
            <w:pPr>
              <w:rPr>
                <w:sz w:val="18"/>
                <w:szCs w:val="18"/>
              </w:rPr>
            </w:pPr>
            <w:r w:rsidRPr="00AA2F92">
              <w:rPr>
                <w:sz w:val="18"/>
                <w:szCs w:val="18"/>
              </w:rPr>
              <w:t xml:space="preserve">As per </w:t>
            </w:r>
            <w:hyperlink r:id="rId15" w:history="1">
              <w:r>
                <w:rPr>
                  <w:rStyle w:val="Hyperlink"/>
                  <w:sz w:val="18"/>
                  <w:szCs w:val="18"/>
                </w:rPr>
                <w:t xml:space="preserve"> the J.P. Morgan EMEA Exchange Traded Derivatives (ETD): Execution Policy Appendix 3</w:t>
              </w:r>
            </w:hyperlink>
            <w:r w:rsidRPr="00AA2F92">
              <w:rPr>
                <w:color w:val="0066FF"/>
                <w:sz w:val="18"/>
                <w:szCs w:val="18"/>
              </w:rPr>
              <w:t xml:space="preserve"> </w:t>
            </w:r>
            <w:r w:rsidRPr="00AA2F92">
              <w:rPr>
                <w:sz w:val="18"/>
                <w:szCs w:val="18"/>
              </w:rPr>
              <w:t xml:space="preserve">of the J.P. Morgan Execution Policy J.P. Morgan </w:t>
            </w:r>
            <w:r>
              <w:rPr>
                <w:sz w:val="18"/>
                <w:szCs w:val="18"/>
              </w:rPr>
              <w:t>SE</w:t>
            </w:r>
            <w:r w:rsidRPr="00AA2F92">
              <w:rPr>
                <w:sz w:val="18"/>
                <w:szCs w:val="18"/>
              </w:rPr>
              <w:t xml:space="preserve"> monitors the effectiveness of its execution arrangements and assesses on a regular basis whether the execution venues it has selected provide for the best possible result for orders it executes on behalf of its clients. Both readily available market data and J.P. Morgan internal transaction data are used to assess the quality of execution for in-scope orders. Thresholds comparing execution factors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052E11" w:rsidRPr="00392E4D" w14:paraId="71C51B31" w14:textId="77777777" w:rsidTr="00764C2D">
        <w:trPr>
          <w:trHeight w:val="676"/>
        </w:trPr>
        <w:tc>
          <w:tcPr>
            <w:tcW w:w="513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11ACB499" w14:textId="77777777" w:rsidR="00052E11" w:rsidRPr="00764C2D" w:rsidRDefault="00052E11" w:rsidP="00052E11">
            <w:pPr>
              <w:rPr>
                <w:sz w:val="18"/>
                <w:szCs w:val="18"/>
              </w:rPr>
            </w:pPr>
            <w:r w:rsidRPr="00764C2D">
              <w:rPr>
                <w:sz w:val="18"/>
                <w:szCs w:val="18"/>
              </w:rPr>
              <w:t>Use of consolidated tape provider output or other algorithms to assess execution performances</w:t>
            </w:r>
          </w:p>
        </w:tc>
        <w:tc>
          <w:tcPr>
            <w:tcW w:w="936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29991B9D" w14:textId="77777777" w:rsidR="00052E11" w:rsidRPr="00392E4D" w:rsidRDefault="00052E11" w:rsidP="00052E11">
            <w:pPr>
              <w:rPr>
                <w:sz w:val="18"/>
                <w:szCs w:val="18"/>
              </w:rPr>
            </w:pPr>
            <w:r w:rsidRPr="00392E4D">
              <w:rPr>
                <w:sz w:val="18"/>
                <w:szCs w:val="18"/>
              </w:rPr>
              <w:t>Not Applicable</w:t>
            </w:r>
          </w:p>
        </w:tc>
      </w:tr>
    </w:tbl>
    <w:p w14:paraId="1872FE53" w14:textId="77777777" w:rsidR="00774137" w:rsidRPr="00AA2F92" w:rsidRDefault="00774137" w:rsidP="00774137">
      <w:pPr>
        <w:rPr>
          <w:sz w:val="18"/>
          <w:szCs w:val="18"/>
        </w:rPr>
      </w:pPr>
    </w:p>
    <w:p w14:paraId="30EF36BE" w14:textId="5BEF4B7A" w:rsidR="00052E11" w:rsidRDefault="00052E11">
      <w:pPr>
        <w:rPr>
          <w:sz w:val="18"/>
          <w:szCs w:val="18"/>
        </w:rPr>
      </w:pPr>
      <w:r>
        <w:rPr>
          <w:sz w:val="18"/>
          <w:szCs w:val="18"/>
        </w:rPr>
        <w:br w:type="page"/>
      </w:r>
    </w:p>
    <w:tbl>
      <w:tblPr>
        <w:tblStyle w:val="TableGrid"/>
        <w:tblW w:w="14580" w:type="dxa"/>
        <w:tblInd w:w="-375" w:type="dxa"/>
        <w:tblLook w:val="04A0" w:firstRow="1" w:lastRow="0" w:firstColumn="1" w:lastColumn="0" w:noHBand="0" w:noVBand="1"/>
      </w:tblPr>
      <w:tblGrid>
        <w:gridCol w:w="5253"/>
        <w:gridCol w:w="9327"/>
      </w:tblGrid>
      <w:tr w:rsidR="00C06819" w:rsidRPr="000D0F33" w14:paraId="09CCCE09" w14:textId="77777777" w:rsidTr="00A76F86">
        <w:tc>
          <w:tcPr>
            <w:tcW w:w="525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B69595E" w14:textId="77777777" w:rsidR="00C06819" w:rsidRPr="000D0F33" w:rsidRDefault="00C06819" w:rsidP="00785F60">
            <w:pPr>
              <w:rPr>
                <w:sz w:val="18"/>
                <w:szCs w:val="18"/>
              </w:rPr>
            </w:pPr>
            <w:r w:rsidRPr="000D0F33">
              <w:rPr>
                <w:sz w:val="18"/>
                <w:szCs w:val="18"/>
              </w:rPr>
              <w:lastRenderedPageBreak/>
              <w:t>Legal Entity</w:t>
            </w:r>
          </w:p>
        </w:tc>
        <w:tc>
          <w:tcPr>
            <w:tcW w:w="9327" w:type="dxa"/>
            <w:tcBorders>
              <w:top w:val="single" w:sz="12" w:space="0" w:color="auto"/>
              <w:left w:val="single" w:sz="4" w:space="0" w:color="auto"/>
              <w:bottom w:val="single" w:sz="12" w:space="0" w:color="auto"/>
              <w:right w:val="single" w:sz="12" w:space="0" w:color="auto"/>
            </w:tcBorders>
          </w:tcPr>
          <w:p w14:paraId="13965879" w14:textId="77777777" w:rsidR="00C06819" w:rsidRPr="000D0F33" w:rsidRDefault="00C06819" w:rsidP="00785F60">
            <w:pPr>
              <w:spacing w:after="120"/>
              <w:jc w:val="both"/>
              <w:rPr>
                <w:sz w:val="18"/>
                <w:szCs w:val="18"/>
              </w:rPr>
            </w:pPr>
            <w:r w:rsidRPr="000D0F33">
              <w:rPr>
                <w:sz w:val="18"/>
                <w:szCs w:val="18"/>
              </w:rPr>
              <w:t xml:space="preserve">J.P. Morgan </w:t>
            </w:r>
            <w:r>
              <w:rPr>
                <w:sz w:val="18"/>
                <w:szCs w:val="18"/>
              </w:rPr>
              <w:t>SE</w:t>
            </w:r>
            <w:r w:rsidRPr="000D0F33">
              <w:rPr>
                <w:sz w:val="18"/>
                <w:szCs w:val="18"/>
              </w:rPr>
              <w:t xml:space="preserve"> (549300ZK53CNGEEI6A</w:t>
            </w:r>
            <w:proofErr w:type="gramStart"/>
            <w:r w:rsidRPr="000D0F33">
              <w:rPr>
                <w:sz w:val="18"/>
                <w:szCs w:val="18"/>
              </w:rPr>
              <w:t>29)</w:t>
            </w:r>
            <w:r>
              <w:rPr>
                <w:sz w:val="18"/>
                <w:szCs w:val="18"/>
              </w:rPr>
              <w:t>*</w:t>
            </w:r>
            <w:proofErr w:type="gramEnd"/>
          </w:p>
        </w:tc>
      </w:tr>
      <w:tr w:rsidR="00C06819" w:rsidRPr="000D0F33" w14:paraId="288B7864" w14:textId="77777777" w:rsidTr="00A76F86">
        <w:tc>
          <w:tcPr>
            <w:tcW w:w="525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108EBF7" w14:textId="77777777" w:rsidR="00C06819" w:rsidRPr="000D0F33" w:rsidRDefault="00C06819" w:rsidP="00785F60">
            <w:pPr>
              <w:rPr>
                <w:sz w:val="18"/>
                <w:szCs w:val="18"/>
              </w:rPr>
            </w:pPr>
            <w:r w:rsidRPr="000D0F33">
              <w:rPr>
                <w:sz w:val="18"/>
                <w:szCs w:val="18"/>
              </w:rPr>
              <w:t>Class of Instrument</w:t>
            </w:r>
          </w:p>
        </w:tc>
        <w:tc>
          <w:tcPr>
            <w:tcW w:w="9327" w:type="dxa"/>
            <w:tcBorders>
              <w:top w:val="single" w:sz="12" w:space="0" w:color="auto"/>
              <w:left w:val="single" w:sz="4" w:space="0" w:color="auto"/>
              <w:bottom w:val="single" w:sz="12" w:space="0" w:color="auto"/>
              <w:right w:val="single" w:sz="12" w:space="0" w:color="auto"/>
            </w:tcBorders>
          </w:tcPr>
          <w:p w14:paraId="1E511B27" w14:textId="77777777" w:rsidR="00C06819" w:rsidRPr="000D0F33" w:rsidRDefault="00C06819" w:rsidP="00785F60">
            <w:pPr>
              <w:spacing w:after="120"/>
              <w:jc w:val="both"/>
              <w:rPr>
                <w:color w:val="0000FF"/>
                <w:sz w:val="18"/>
                <w:szCs w:val="18"/>
              </w:rPr>
            </w:pPr>
            <w:r w:rsidRPr="000D0F33">
              <w:rPr>
                <w:sz w:val="18"/>
                <w:szCs w:val="18"/>
              </w:rPr>
              <w:t>Currency derivatives: Swaps, forwards, and other currency derivatives</w:t>
            </w:r>
          </w:p>
        </w:tc>
      </w:tr>
      <w:tr w:rsidR="00C06819" w:rsidRPr="000D0F33" w14:paraId="6A77C004" w14:textId="77777777" w:rsidTr="00A76F86">
        <w:tc>
          <w:tcPr>
            <w:tcW w:w="14580" w:type="dxa"/>
            <w:gridSpan w:val="2"/>
            <w:tcBorders>
              <w:top w:val="single" w:sz="12" w:space="0" w:color="auto"/>
              <w:left w:val="single" w:sz="12" w:space="0" w:color="auto"/>
              <w:right w:val="single" w:sz="12" w:space="0" w:color="auto"/>
            </w:tcBorders>
            <w:shd w:val="clear" w:color="auto" w:fill="D9D9D9" w:themeFill="background1" w:themeFillShade="D9"/>
          </w:tcPr>
          <w:p w14:paraId="09966A46" w14:textId="77777777" w:rsidR="00C06819" w:rsidRPr="000D0F33" w:rsidRDefault="00C06819" w:rsidP="00785F60">
            <w:pPr>
              <w:jc w:val="center"/>
              <w:rPr>
                <w:sz w:val="18"/>
                <w:szCs w:val="18"/>
              </w:rPr>
            </w:pPr>
            <w:r w:rsidRPr="000D0F33">
              <w:rPr>
                <w:sz w:val="18"/>
                <w:szCs w:val="18"/>
              </w:rPr>
              <w:t>Summary of Analysis</w:t>
            </w:r>
          </w:p>
        </w:tc>
      </w:tr>
      <w:tr w:rsidR="00C06819" w:rsidRPr="000D0F33" w14:paraId="321FAFE6" w14:textId="77777777" w:rsidTr="00A76F86">
        <w:trPr>
          <w:trHeight w:val="827"/>
        </w:trPr>
        <w:tc>
          <w:tcPr>
            <w:tcW w:w="14580" w:type="dxa"/>
            <w:gridSpan w:val="2"/>
            <w:tcBorders>
              <w:left w:val="single" w:sz="12" w:space="0" w:color="auto"/>
              <w:right w:val="single" w:sz="12" w:space="0" w:color="auto"/>
            </w:tcBorders>
          </w:tcPr>
          <w:p w14:paraId="0F0E4953" w14:textId="4A5275BC" w:rsidR="00C06819" w:rsidRPr="000D0F33" w:rsidRDefault="00C06819" w:rsidP="00785F60">
            <w:pPr>
              <w:spacing w:after="120"/>
              <w:jc w:val="both"/>
              <w:rPr>
                <w:sz w:val="18"/>
                <w:szCs w:val="18"/>
              </w:rPr>
            </w:pPr>
            <w:r>
              <w:rPr>
                <w:sz w:val="18"/>
                <w:szCs w:val="18"/>
              </w:rPr>
              <w:t xml:space="preserve">For the year of </w:t>
            </w:r>
            <w:r w:rsidRPr="00B70FB9">
              <w:rPr>
                <w:sz w:val="18"/>
                <w:szCs w:val="18"/>
              </w:rPr>
              <w:t>202</w:t>
            </w:r>
            <w:r>
              <w:rPr>
                <w:sz w:val="18"/>
                <w:szCs w:val="18"/>
              </w:rPr>
              <w:t>2 i</w:t>
            </w:r>
            <w:r w:rsidRPr="002300EB">
              <w:rPr>
                <w:sz w:val="18"/>
                <w:szCs w:val="18"/>
              </w:rPr>
              <w:t xml:space="preserve">n respect of eCommerce Orders, </w:t>
            </w:r>
            <w:r w:rsidRPr="000D0F33">
              <w:rPr>
                <w:sz w:val="18"/>
                <w:szCs w:val="18"/>
              </w:rPr>
              <w:t xml:space="preserve">J.P. Morgan </w:t>
            </w:r>
            <w:r>
              <w:rPr>
                <w:sz w:val="18"/>
                <w:szCs w:val="18"/>
              </w:rPr>
              <w:t>SE</w:t>
            </w:r>
            <w:r w:rsidRPr="000D0F33">
              <w:rPr>
                <w:sz w:val="18"/>
                <w:szCs w:val="18"/>
              </w:rPr>
              <w:t xml:space="preserve"> </w:t>
            </w:r>
            <w:r w:rsidRPr="002300EB">
              <w:rPr>
                <w:sz w:val="18"/>
                <w:szCs w:val="18"/>
              </w:rPr>
              <w:t xml:space="preserve">collated quoted bid/offer spreads over a rolling time </w:t>
            </w:r>
            <w:proofErr w:type="gramStart"/>
            <w:r w:rsidRPr="002300EB">
              <w:rPr>
                <w:sz w:val="18"/>
                <w:szCs w:val="18"/>
              </w:rPr>
              <w:t>frame,</w:t>
            </w:r>
            <w:r w:rsidR="00052E11">
              <w:rPr>
                <w:sz w:val="18"/>
                <w:szCs w:val="18"/>
              </w:rPr>
              <w:t xml:space="preserve"> </w:t>
            </w:r>
            <w:r w:rsidRPr="002300EB">
              <w:rPr>
                <w:sz w:val="18"/>
                <w:szCs w:val="18"/>
              </w:rPr>
              <w:t>and</w:t>
            </w:r>
            <w:proofErr w:type="gramEnd"/>
            <w:r w:rsidRPr="002300EB">
              <w:rPr>
                <w:sz w:val="18"/>
                <w:szCs w:val="18"/>
              </w:rPr>
              <w:t xml:space="preserve"> analysed these in comparison to completed leave transactions</w:t>
            </w:r>
            <w:r>
              <w:rPr>
                <w:sz w:val="18"/>
                <w:szCs w:val="18"/>
              </w:rPr>
              <w:t xml:space="preserve"> (on a post-trade basis)</w:t>
            </w:r>
            <w:r w:rsidRPr="002300EB">
              <w:rPr>
                <w:sz w:val="18"/>
                <w:szCs w:val="18"/>
              </w:rPr>
              <w:t xml:space="preserve"> to identify outliers. </w:t>
            </w:r>
            <w:r w:rsidRPr="002300EB">
              <w:rPr>
                <w:bCs/>
                <w:color w:val="000000" w:themeColor="text1"/>
                <w:sz w:val="18"/>
                <w:szCs w:val="18"/>
              </w:rPr>
              <w:t>The results of the</w:t>
            </w:r>
            <w:r>
              <w:rPr>
                <w:bCs/>
                <w:color w:val="000000" w:themeColor="text1"/>
                <w:sz w:val="18"/>
                <w:szCs w:val="18"/>
              </w:rPr>
              <w:t xml:space="preserve"> Best Execution</w:t>
            </w:r>
            <w:r w:rsidRPr="002300EB">
              <w:rPr>
                <w:bCs/>
                <w:color w:val="000000" w:themeColor="text1"/>
                <w:sz w:val="18"/>
                <w:szCs w:val="18"/>
              </w:rPr>
              <w:t xml:space="preserve"> monitoring were reviewed by </w:t>
            </w:r>
            <w:r w:rsidRPr="002300EB">
              <w:rPr>
                <w:color w:val="000000" w:themeColor="text1"/>
                <w:sz w:val="18"/>
                <w:szCs w:val="18"/>
              </w:rPr>
              <w:t xml:space="preserve">J.P. Morgan </w:t>
            </w:r>
            <w:r w:rsidRPr="002300EB">
              <w:rPr>
                <w:bCs/>
                <w:color w:val="000000" w:themeColor="text1"/>
                <w:sz w:val="18"/>
                <w:szCs w:val="18"/>
              </w:rPr>
              <w:t>m</w:t>
            </w:r>
            <w:r>
              <w:rPr>
                <w:bCs/>
                <w:color w:val="000000" w:themeColor="text1"/>
                <w:sz w:val="18"/>
                <w:szCs w:val="18"/>
              </w:rPr>
              <w:t>anagement and control functions and</w:t>
            </w:r>
            <w:r w:rsidRPr="002300EB">
              <w:rPr>
                <w:bCs/>
                <w:color w:val="000000" w:themeColor="text1"/>
                <w:sz w:val="18"/>
                <w:szCs w:val="18"/>
              </w:rPr>
              <w:t xml:space="preserve"> were in line with </w:t>
            </w:r>
            <w:r w:rsidRPr="000D0F33">
              <w:rPr>
                <w:sz w:val="18"/>
                <w:szCs w:val="18"/>
              </w:rPr>
              <w:t xml:space="preserve">J.P. Morgan </w:t>
            </w:r>
            <w:r>
              <w:rPr>
                <w:sz w:val="18"/>
                <w:szCs w:val="18"/>
              </w:rPr>
              <w:t>SE</w:t>
            </w:r>
            <w:r w:rsidRPr="000D0F33">
              <w:rPr>
                <w:sz w:val="18"/>
                <w:szCs w:val="18"/>
              </w:rPr>
              <w:t xml:space="preserve"> </w:t>
            </w:r>
            <w:r w:rsidRPr="002300EB">
              <w:rPr>
                <w:bCs/>
                <w:color w:val="000000" w:themeColor="text1"/>
                <w:sz w:val="18"/>
                <w:szCs w:val="18"/>
              </w:rPr>
              <w:t>expectations</w:t>
            </w:r>
            <w:r w:rsidRPr="002300EB">
              <w:rPr>
                <w:b/>
                <w:bCs/>
                <w:color w:val="000000" w:themeColor="text1"/>
                <w:sz w:val="18"/>
                <w:szCs w:val="18"/>
              </w:rPr>
              <w:t>.</w:t>
            </w:r>
            <w:r w:rsidRPr="002300EB">
              <w:rPr>
                <w:sz w:val="18"/>
                <w:szCs w:val="18"/>
              </w:rPr>
              <w:t xml:space="preserve"> Clients direct their orders to </w:t>
            </w:r>
            <w:r w:rsidRPr="000D0F33">
              <w:rPr>
                <w:sz w:val="18"/>
                <w:szCs w:val="18"/>
              </w:rPr>
              <w:t xml:space="preserve">J.P. Morgan </w:t>
            </w:r>
            <w:r>
              <w:rPr>
                <w:sz w:val="18"/>
                <w:szCs w:val="18"/>
              </w:rPr>
              <w:t>SE</w:t>
            </w:r>
            <w:r w:rsidRPr="000D0F33">
              <w:rPr>
                <w:sz w:val="18"/>
                <w:szCs w:val="18"/>
              </w:rPr>
              <w:t xml:space="preserve"> </w:t>
            </w:r>
            <w:r w:rsidRPr="002300EB">
              <w:rPr>
                <w:sz w:val="18"/>
                <w:szCs w:val="18"/>
              </w:rPr>
              <w:t>to execute as principal and we therefore treat all orders as directed as we are the sole execution venue.</w:t>
            </w:r>
          </w:p>
        </w:tc>
      </w:tr>
      <w:tr w:rsidR="00C06819" w:rsidRPr="000D0F33" w14:paraId="5526B269" w14:textId="77777777" w:rsidTr="00A76F86">
        <w:tc>
          <w:tcPr>
            <w:tcW w:w="5253" w:type="dxa"/>
            <w:tcBorders>
              <w:left w:val="single" w:sz="12" w:space="0" w:color="auto"/>
            </w:tcBorders>
            <w:shd w:val="clear" w:color="auto" w:fill="D9D9D9" w:themeFill="background1" w:themeFillShade="D9"/>
          </w:tcPr>
          <w:p w14:paraId="04ABCD9F" w14:textId="77777777" w:rsidR="00C06819" w:rsidRPr="000D0F33" w:rsidRDefault="00C06819" w:rsidP="00785F60">
            <w:pPr>
              <w:rPr>
                <w:sz w:val="18"/>
                <w:szCs w:val="18"/>
              </w:rPr>
            </w:pPr>
            <w:r w:rsidRPr="000D0F33">
              <w:rPr>
                <w:sz w:val="18"/>
                <w:szCs w:val="18"/>
              </w:rPr>
              <w:t>Relative importance given to execution factors &amp; other considerations</w:t>
            </w:r>
          </w:p>
        </w:tc>
        <w:tc>
          <w:tcPr>
            <w:tcW w:w="9327" w:type="dxa"/>
            <w:tcBorders>
              <w:right w:val="single" w:sz="12" w:space="0" w:color="auto"/>
            </w:tcBorders>
          </w:tcPr>
          <w:p w14:paraId="4DFBEFAE" w14:textId="77777777" w:rsidR="00C06819" w:rsidRPr="000D0F33" w:rsidRDefault="00C06819" w:rsidP="00785F60">
            <w:pPr>
              <w:spacing w:after="120"/>
              <w:jc w:val="both"/>
              <w:rPr>
                <w:i/>
                <w:sz w:val="18"/>
                <w:szCs w:val="18"/>
              </w:rPr>
            </w:pPr>
            <w:r w:rsidRPr="000D0F33">
              <w:rPr>
                <w:sz w:val="18"/>
                <w:szCs w:val="18"/>
              </w:rPr>
              <w:t xml:space="preserve">As per </w:t>
            </w:r>
            <w:hyperlink r:id="rId16" w:history="1">
              <w:r w:rsidRPr="00343954">
                <w:rPr>
                  <w:rStyle w:val="Hyperlink"/>
                  <w:sz w:val="18"/>
                  <w:szCs w:val="18"/>
                </w:rPr>
                <w:t>Appendix 5</w:t>
              </w:r>
            </w:hyperlink>
            <w:r w:rsidRPr="000D0F33">
              <w:rPr>
                <w:sz w:val="18"/>
                <w:szCs w:val="18"/>
              </w:rPr>
              <w:t xml:space="preserve"> of the </w:t>
            </w:r>
            <w:hyperlink r:id="rId17" w:history="1">
              <w:r w:rsidRPr="00985B19">
                <w:rPr>
                  <w:rStyle w:val="Hyperlink"/>
                  <w:sz w:val="18"/>
                  <w:szCs w:val="18"/>
                </w:rPr>
                <w:t>J.P. Morgan Execution Policy</w:t>
              </w:r>
            </w:hyperlink>
            <w:r>
              <w:rPr>
                <w:rStyle w:val="Hyperlink"/>
                <w:sz w:val="18"/>
                <w:szCs w:val="18"/>
              </w:rPr>
              <w:t xml:space="preserve"> </w:t>
            </w:r>
            <w:r w:rsidRPr="000D0F33">
              <w:rPr>
                <w:sz w:val="18"/>
                <w:szCs w:val="18"/>
              </w:rPr>
              <w:t>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tc>
      </w:tr>
      <w:tr w:rsidR="00C06819" w:rsidRPr="000D0F33" w14:paraId="546F1EF3" w14:textId="77777777" w:rsidTr="00A76F86">
        <w:tc>
          <w:tcPr>
            <w:tcW w:w="5253" w:type="dxa"/>
            <w:tcBorders>
              <w:left w:val="single" w:sz="12" w:space="0" w:color="auto"/>
            </w:tcBorders>
            <w:shd w:val="clear" w:color="auto" w:fill="D9D9D9" w:themeFill="background1" w:themeFillShade="D9"/>
          </w:tcPr>
          <w:p w14:paraId="48975BEE" w14:textId="77777777" w:rsidR="00C06819" w:rsidRPr="000D0F33" w:rsidRDefault="00C06819" w:rsidP="00785F60">
            <w:pPr>
              <w:rPr>
                <w:sz w:val="18"/>
                <w:szCs w:val="18"/>
              </w:rPr>
            </w:pPr>
            <w:r w:rsidRPr="000D0F33">
              <w:rPr>
                <w:sz w:val="18"/>
                <w:szCs w:val="18"/>
              </w:rPr>
              <w:t>Execution venue close links / conflicts of interest / common ownerships</w:t>
            </w:r>
          </w:p>
        </w:tc>
        <w:tc>
          <w:tcPr>
            <w:tcW w:w="9327" w:type="dxa"/>
            <w:tcBorders>
              <w:right w:val="single" w:sz="12" w:space="0" w:color="auto"/>
            </w:tcBorders>
          </w:tcPr>
          <w:p w14:paraId="71AEA7FA" w14:textId="77777777" w:rsidR="00C06819" w:rsidRPr="000D0F33" w:rsidRDefault="00C06819" w:rsidP="00785F60">
            <w:pPr>
              <w:rPr>
                <w:sz w:val="18"/>
                <w:szCs w:val="18"/>
              </w:rPr>
            </w:pPr>
            <w:r w:rsidRPr="000D0F33">
              <w:rPr>
                <w:sz w:val="18"/>
                <w:szCs w:val="18"/>
              </w:rPr>
              <w:t xml:space="preserve">J.P. Morgan </w:t>
            </w:r>
            <w:r>
              <w:rPr>
                <w:sz w:val="18"/>
                <w:szCs w:val="18"/>
              </w:rPr>
              <w:t>SE</w:t>
            </w:r>
            <w:r w:rsidRPr="000D0F33">
              <w:rPr>
                <w:sz w:val="18"/>
                <w:szCs w:val="18"/>
              </w:rPr>
              <w:t xml:space="preserve"> is a fully owned subsidiary of JPMorgan Chase &amp; Co.</w:t>
            </w:r>
          </w:p>
        </w:tc>
      </w:tr>
      <w:tr w:rsidR="00C06819" w:rsidRPr="000D0F33" w14:paraId="7733912F" w14:textId="77777777" w:rsidTr="00A76F86">
        <w:trPr>
          <w:trHeight w:val="305"/>
        </w:trPr>
        <w:tc>
          <w:tcPr>
            <w:tcW w:w="5253" w:type="dxa"/>
            <w:tcBorders>
              <w:left w:val="single" w:sz="12" w:space="0" w:color="auto"/>
            </w:tcBorders>
            <w:shd w:val="clear" w:color="auto" w:fill="D9D9D9" w:themeFill="background1" w:themeFillShade="D9"/>
          </w:tcPr>
          <w:p w14:paraId="4603374E" w14:textId="77777777" w:rsidR="00C06819" w:rsidRPr="000D0F33" w:rsidRDefault="00C06819" w:rsidP="00785F60">
            <w:pPr>
              <w:rPr>
                <w:sz w:val="18"/>
                <w:szCs w:val="18"/>
              </w:rPr>
            </w:pPr>
            <w:r w:rsidRPr="000D0F33">
              <w:rPr>
                <w:sz w:val="18"/>
                <w:szCs w:val="18"/>
              </w:rPr>
              <w:t>Specific execution venue arrangements</w:t>
            </w:r>
          </w:p>
        </w:tc>
        <w:tc>
          <w:tcPr>
            <w:tcW w:w="9327" w:type="dxa"/>
            <w:tcBorders>
              <w:right w:val="single" w:sz="12" w:space="0" w:color="auto"/>
            </w:tcBorders>
          </w:tcPr>
          <w:p w14:paraId="046D7BD0" w14:textId="77777777" w:rsidR="00C06819" w:rsidRPr="000D0F33" w:rsidRDefault="00C06819" w:rsidP="00785F60">
            <w:pPr>
              <w:rPr>
                <w:sz w:val="18"/>
                <w:szCs w:val="18"/>
              </w:rPr>
            </w:pPr>
            <w:r w:rsidRPr="000D0F33">
              <w:rPr>
                <w:sz w:val="18"/>
                <w:szCs w:val="18"/>
              </w:rPr>
              <w:t xml:space="preserve">J.P. Morgan </w:t>
            </w:r>
            <w:r>
              <w:rPr>
                <w:sz w:val="18"/>
                <w:szCs w:val="18"/>
              </w:rPr>
              <w:t>SE</w:t>
            </w:r>
            <w:r w:rsidRPr="000D0F33">
              <w:rPr>
                <w:sz w:val="18"/>
                <w:szCs w:val="18"/>
              </w:rPr>
              <w:t xml:space="preserve"> is the sole execution venue. </w:t>
            </w:r>
          </w:p>
        </w:tc>
      </w:tr>
      <w:tr w:rsidR="00C06819" w:rsidRPr="000D0F33" w14:paraId="05E9FA51" w14:textId="77777777" w:rsidTr="00A76F86">
        <w:trPr>
          <w:trHeight w:val="440"/>
        </w:trPr>
        <w:tc>
          <w:tcPr>
            <w:tcW w:w="5253" w:type="dxa"/>
            <w:tcBorders>
              <w:left w:val="single" w:sz="12" w:space="0" w:color="auto"/>
            </w:tcBorders>
            <w:shd w:val="clear" w:color="auto" w:fill="D9D9D9" w:themeFill="background1" w:themeFillShade="D9"/>
          </w:tcPr>
          <w:p w14:paraId="1055A1E0" w14:textId="77777777" w:rsidR="00C06819" w:rsidRPr="000D0F33" w:rsidRDefault="00C06819" w:rsidP="00785F60">
            <w:pPr>
              <w:rPr>
                <w:sz w:val="18"/>
                <w:szCs w:val="18"/>
              </w:rPr>
            </w:pPr>
            <w:r w:rsidRPr="000D0F33">
              <w:rPr>
                <w:sz w:val="18"/>
                <w:szCs w:val="18"/>
              </w:rPr>
              <w:t>Changes to execution venues</w:t>
            </w:r>
          </w:p>
        </w:tc>
        <w:tc>
          <w:tcPr>
            <w:tcW w:w="9327" w:type="dxa"/>
            <w:tcBorders>
              <w:right w:val="single" w:sz="12" w:space="0" w:color="auto"/>
            </w:tcBorders>
          </w:tcPr>
          <w:p w14:paraId="402FD422" w14:textId="77777777" w:rsidR="00C06819" w:rsidRPr="000D0F33" w:rsidRDefault="00C06819" w:rsidP="00785F60">
            <w:pPr>
              <w:spacing w:after="120"/>
              <w:rPr>
                <w:sz w:val="18"/>
                <w:szCs w:val="18"/>
              </w:rPr>
            </w:pPr>
            <w:r w:rsidRPr="000D0F33">
              <w:rPr>
                <w:sz w:val="18"/>
                <w:szCs w:val="18"/>
              </w:rPr>
              <w:t>Not Applicable</w:t>
            </w:r>
          </w:p>
        </w:tc>
      </w:tr>
      <w:tr w:rsidR="00052E11" w:rsidRPr="000D0F33" w14:paraId="3C9E2B9A" w14:textId="77777777" w:rsidTr="00A76F86">
        <w:tc>
          <w:tcPr>
            <w:tcW w:w="5253" w:type="dxa"/>
            <w:tcBorders>
              <w:left w:val="single" w:sz="12" w:space="0" w:color="auto"/>
            </w:tcBorders>
            <w:shd w:val="clear" w:color="auto" w:fill="D9D9D9" w:themeFill="background1" w:themeFillShade="D9"/>
          </w:tcPr>
          <w:p w14:paraId="7C34A05B" w14:textId="77777777" w:rsidR="00052E11" w:rsidRPr="000D0F33" w:rsidRDefault="00052E11" w:rsidP="00052E11">
            <w:pPr>
              <w:rPr>
                <w:sz w:val="18"/>
                <w:szCs w:val="18"/>
              </w:rPr>
            </w:pPr>
            <w:bookmarkStart w:id="1" w:name="_Hlk129863892"/>
            <w:r w:rsidRPr="00AA2F92">
              <w:rPr>
                <w:sz w:val="18"/>
                <w:szCs w:val="18"/>
              </w:rPr>
              <w:t>Client distinctions</w:t>
            </w:r>
          </w:p>
        </w:tc>
        <w:tc>
          <w:tcPr>
            <w:tcW w:w="9327" w:type="dxa"/>
            <w:tcBorders>
              <w:right w:val="single" w:sz="12" w:space="0" w:color="auto"/>
            </w:tcBorders>
          </w:tcPr>
          <w:p w14:paraId="1A7B274C" w14:textId="77777777" w:rsidR="00052E11" w:rsidRDefault="00052E11" w:rsidP="00052E11">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019F5D97" w14:textId="77777777" w:rsidR="00052E11" w:rsidRDefault="00052E11" w:rsidP="00052E11">
            <w:pPr>
              <w:spacing w:after="120"/>
              <w:rPr>
                <w:sz w:val="18"/>
                <w:szCs w:val="18"/>
              </w:rPr>
            </w:pPr>
            <w:r>
              <w:rPr>
                <w:sz w:val="18"/>
                <w:szCs w:val="18"/>
              </w:rPr>
              <w:t xml:space="preserve">JPMSE CIB only deals with Professional Clients. </w:t>
            </w:r>
          </w:p>
          <w:p w14:paraId="59D60833" w14:textId="77777777" w:rsidR="00052E11" w:rsidRDefault="00052E11" w:rsidP="00052E11">
            <w:pPr>
              <w:rPr>
                <w:sz w:val="18"/>
                <w:szCs w:val="18"/>
              </w:rPr>
            </w:pPr>
            <w:r>
              <w:rPr>
                <w:sz w:val="18"/>
                <w:szCs w:val="18"/>
              </w:rPr>
              <w:t xml:space="preserve">However, JPMSE PB deals with both Professional and Retail Clients and its Best Execution disclosures can be found </w:t>
            </w:r>
            <w:hyperlink r:id="rId18" w:history="1">
              <w:r>
                <w:rPr>
                  <w:rStyle w:val="Hyperlink"/>
                  <w:sz w:val="18"/>
                  <w:szCs w:val="18"/>
                </w:rPr>
                <w:t>here</w:t>
              </w:r>
            </w:hyperlink>
            <w:r>
              <w:rPr>
                <w:sz w:val="18"/>
                <w:szCs w:val="18"/>
              </w:rPr>
              <w:t>.</w:t>
            </w:r>
          </w:p>
          <w:p w14:paraId="7C073C38" w14:textId="73CEA769" w:rsidR="00052E11" w:rsidRPr="00427452" w:rsidRDefault="00052E11" w:rsidP="00052E11">
            <w:pPr>
              <w:spacing w:after="120"/>
              <w:rPr>
                <w:sz w:val="18"/>
                <w:szCs w:val="18"/>
                <w:highlight w:val="yellow"/>
              </w:rPr>
            </w:pPr>
          </w:p>
        </w:tc>
      </w:tr>
      <w:bookmarkEnd w:id="1"/>
      <w:tr w:rsidR="00052E11" w:rsidRPr="000D0F33" w14:paraId="432F4AD8" w14:textId="77777777" w:rsidTr="00A76F86">
        <w:trPr>
          <w:trHeight w:val="70"/>
        </w:trPr>
        <w:tc>
          <w:tcPr>
            <w:tcW w:w="5253" w:type="dxa"/>
            <w:tcBorders>
              <w:left w:val="single" w:sz="12" w:space="0" w:color="auto"/>
            </w:tcBorders>
            <w:shd w:val="clear" w:color="auto" w:fill="D9D9D9" w:themeFill="background1" w:themeFillShade="D9"/>
          </w:tcPr>
          <w:p w14:paraId="1AFB8525" w14:textId="77777777" w:rsidR="00052E11" w:rsidRPr="000D0F33" w:rsidRDefault="00052E11" w:rsidP="00052E11">
            <w:pPr>
              <w:rPr>
                <w:sz w:val="18"/>
                <w:szCs w:val="18"/>
              </w:rPr>
            </w:pPr>
            <w:r>
              <w:rPr>
                <w:rFonts w:ascii="Calibri" w:eastAsia="Calibri" w:hAnsi="Calibri" w:cs="Times New Roman"/>
                <w:sz w:val="18"/>
                <w:szCs w:val="18"/>
              </w:rPr>
              <w:t>Retail Client Orders</w:t>
            </w:r>
          </w:p>
        </w:tc>
        <w:tc>
          <w:tcPr>
            <w:tcW w:w="9327" w:type="dxa"/>
            <w:tcBorders>
              <w:right w:val="single" w:sz="12" w:space="0" w:color="auto"/>
            </w:tcBorders>
          </w:tcPr>
          <w:p w14:paraId="3E2F99E2" w14:textId="77777777" w:rsidR="00052E11" w:rsidRPr="00427452" w:rsidRDefault="00052E11" w:rsidP="00052E11">
            <w:pPr>
              <w:spacing w:after="120"/>
              <w:rPr>
                <w:sz w:val="18"/>
                <w:szCs w:val="18"/>
              </w:rPr>
            </w:pPr>
            <w:r>
              <w:rPr>
                <w:sz w:val="18"/>
                <w:szCs w:val="18"/>
              </w:rPr>
              <w:t>See above</w:t>
            </w:r>
          </w:p>
        </w:tc>
      </w:tr>
      <w:tr w:rsidR="00052E11" w:rsidRPr="000D0F33" w14:paraId="74803EA0" w14:textId="77777777" w:rsidTr="00A76F86">
        <w:trPr>
          <w:trHeight w:val="70"/>
        </w:trPr>
        <w:tc>
          <w:tcPr>
            <w:tcW w:w="5253" w:type="dxa"/>
            <w:tcBorders>
              <w:left w:val="single" w:sz="12" w:space="0" w:color="auto"/>
            </w:tcBorders>
            <w:shd w:val="clear" w:color="auto" w:fill="D9D9D9" w:themeFill="background1" w:themeFillShade="D9"/>
          </w:tcPr>
          <w:p w14:paraId="08570ED9" w14:textId="77777777" w:rsidR="00052E11" w:rsidRPr="000D0F33" w:rsidRDefault="00052E11" w:rsidP="00052E11">
            <w:pPr>
              <w:rPr>
                <w:sz w:val="18"/>
                <w:szCs w:val="18"/>
              </w:rPr>
            </w:pPr>
            <w:r w:rsidRPr="000D0F33">
              <w:rPr>
                <w:sz w:val="18"/>
                <w:szCs w:val="18"/>
              </w:rPr>
              <w:t>Use of data/tools relating to the quality of execution</w:t>
            </w:r>
          </w:p>
        </w:tc>
        <w:tc>
          <w:tcPr>
            <w:tcW w:w="9327" w:type="dxa"/>
            <w:tcBorders>
              <w:right w:val="single" w:sz="12" w:space="0" w:color="auto"/>
            </w:tcBorders>
          </w:tcPr>
          <w:p w14:paraId="0EE14E29" w14:textId="77777777" w:rsidR="00052E11" w:rsidRPr="000D0F33" w:rsidRDefault="00052E11" w:rsidP="00052E11">
            <w:pPr>
              <w:spacing w:after="120"/>
              <w:rPr>
                <w:sz w:val="18"/>
                <w:szCs w:val="18"/>
              </w:rPr>
            </w:pPr>
            <w:r w:rsidRPr="000D0F33">
              <w:rPr>
                <w:sz w:val="18"/>
                <w:szCs w:val="18"/>
              </w:rPr>
              <w:t xml:space="preserve">As per </w:t>
            </w:r>
            <w:hyperlink r:id="rId19" w:history="1">
              <w:r w:rsidRPr="00343954">
                <w:rPr>
                  <w:rStyle w:val="Hyperlink"/>
                  <w:sz w:val="18"/>
                  <w:szCs w:val="18"/>
                </w:rPr>
                <w:t>Appendix 5</w:t>
              </w:r>
            </w:hyperlink>
            <w:r w:rsidRPr="000D0F33">
              <w:rPr>
                <w:sz w:val="18"/>
                <w:szCs w:val="18"/>
              </w:rPr>
              <w:t xml:space="preserve"> of the </w:t>
            </w:r>
            <w:hyperlink r:id="rId20" w:history="1">
              <w:r>
                <w:rPr>
                  <w:rStyle w:val="Hyperlink"/>
                  <w:sz w:val="18"/>
                  <w:szCs w:val="18"/>
                </w:rPr>
                <w:t xml:space="preserve"> </w:t>
              </w:r>
              <w:hyperlink r:id="rId21" w:history="1">
                <w:r w:rsidRPr="00985B19">
                  <w:rPr>
                    <w:rStyle w:val="Hyperlink"/>
                    <w:sz w:val="18"/>
                    <w:szCs w:val="18"/>
                  </w:rPr>
                  <w:t>J.P. Morgan Execution Policy</w:t>
                </w:r>
              </w:hyperlink>
              <w:r w:rsidRPr="000D0F33">
                <w:rPr>
                  <w:rStyle w:val="Hyperlink"/>
                  <w:sz w:val="18"/>
                  <w:szCs w:val="18"/>
                </w:rPr>
                <w:t>,</w:t>
              </w:r>
            </w:hyperlink>
            <w:r w:rsidRPr="000D0F33">
              <w:rPr>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052E11" w:rsidRPr="000D0F33" w14:paraId="38E83767" w14:textId="77777777" w:rsidTr="00052E11">
        <w:trPr>
          <w:trHeight w:val="881"/>
        </w:trPr>
        <w:tc>
          <w:tcPr>
            <w:tcW w:w="5253" w:type="dxa"/>
            <w:tcBorders>
              <w:left w:val="single" w:sz="12" w:space="0" w:color="auto"/>
              <w:bottom w:val="single" w:sz="12" w:space="0" w:color="auto"/>
            </w:tcBorders>
            <w:shd w:val="clear" w:color="auto" w:fill="D9D9D9" w:themeFill="background1" w:themeFillShade="D9"/>
          </w:tcPr>
          <w:p w14:paraId="76EF881E" w14:textId="77777777" w:rsidR="00052E11" w:rsidRPr="000D0F33" w:rsidRDefault="00052E11" w:rsidP="00052E11">
            <w:pPr>
              <w:rPr>
                <w:sz w:val="18"/>
                <w:szCs w:val="18"/>
              </w:rPr>
            </w:pPr>
            <w:r w:rsidRPr="000D0F33">
              <w:rPr>
                <w:sz w:val="18"/>
                <w:szCs w:val="18"/>
              </w:rPr>
              <w:t>Use of consolidated tape provider output or other algorithms to assess execution performances</w:t>
            </w:r>
          </w:p>
        </w:tc>
        <w:tc>
          <w:tcPr>
            <w:tcW w:w="9327" w:type="dxa"/>
            <w:tcBorders>
              <w:bottom w:val="single" w:sz="12" w:space="0" w:color="auto"/>
              <w:right w:val="single" w:sz="12" w:space="0" w:color="auto"/>
            </w:tcBorders>
          </w:tcPr>
          <w:p w14:paraId="5E45DAD0" w14:textId="77777777" w:rsidR="00052E11" w:rsidRPr="000D0F33" w:rsidRDefault="00052E11" w:rsidP="00052E11">
            <w:pPr>
              <w:spacing w:after="120"/>
              <w:rPr>
                <w:sz w:val="18"/>
                <w:szCs w:val="18"/>
              </w:rPr>
            </w:pPr>
            <w:r w:rsidRPr="000D0F33">
              <w:rPr>
                <w:sz w:val="18"/>
                <w:szCs w:val="18"/>
              </w:rPr>
              <w:t>Not Applicable</w:t>
            </w:r>
          </w:p>
        </w:tc>
      </w:tr>
      <w:tr w:rsidR="00052E11" w:rsidRPr="00CA56F7" w14:paraId="53DB3BDA" w14:textId="77777777" w:rsidTr="00A76F86">
        <w:tc>
          <w:tcPr>
            <w:tcW w:w="525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204B522" w14:textId="77777777" w:rsidR="00052E11" w:rsidRPr="002300EB" w:rsidRDefault="00052E11" w:rsidP="00052E11">
            <w:pPr>
              <w:rPr>
                <w:sz w:val="18"/>
                <w:szCs w:val="18"/>
              </w:rPr>
            </w:pPr>
            <w:r w:rsidRPr="002300EB">
              <w:rPr>
                <w:sz w:val="18"/>
                <w:szCs w:val="18"/>
              </w:rPr>
              <w:lastRenderedPageBreak/>
              <w:t>Legal Entity</w:t>
            </w:r>
          </w:p>
        </w:tc>
        <w:tc>
          <w:tcPr>
            <w:tcW w:w="9327" w:type="dxa"/>
            <w:tcBorders>
              <w:top w:val="single" w:sz="12" w:space="0" w:color="auto"/>
              <w:left w:val="single" w:sz="4" w:space="0" w:color="auto"/>
              <w:bottom w:val="single" w:sz="12" w:space="0" w:color="auto"/>
              <w:right w:val="single" w:sz="12" w:space="0" w:color="auto"/>
            </w:tcBorders>
          </w:tcPr>
          <w:p w14:paraId="29A5AC99" w14:textId="77777777" w:rsidR="00052E11" w:rsidRPr="008C46FE" w:rsidRDefault="00052E11" w:rsidP="00052E11">
            <w:pPr>
              <w:spacing w:after="120"/>
              <w:jc w:val="both"/>
              <w:rPr>
                <w:sz w:val="18"/>
                <w:szCs w:val="18"/>
                <w:lang w:val="de-DE"/>
              </w:rPr>
            </w:pPr>
            <w:r w:rsidRPr="008C46FE">
              <w:rPr>
                <w:sz w:val="18"/>
                <w:szCs w:val="18"/>
                <w:lang w:val="de-DE"/>
              </w:rPr>
              <w:t xml:space="preserve">J.P. Morgan </w:t>
            </w:r>
            <w:r>
              <w:rPr>
                <w:sz w:val="18"/>
                <w:szCs w:val="18"/>
                <w:lang w:val="de-DE"/>
              </w:rPr>
              <w:t>SE</w:t>
            </w:r>
            <w:r w:rsidRPr="008C46FE">
              <w:rPr>
                <w:sz w:val="18"/>
                <w:szCs w:val="18"/>
                <w:lang w:val="de-DE"/>
              </w:rPr>
              <w:t xml:space="preserve"> (549300ZK53CNGEEI6A</w:t>
            </w:r>
            <w:proofErr w:type="gramStart"/>
            <w:r w:rsidRPr="008C46FE">
              <w:rPr>
                <w:sz w:val="18"/>
                <w:szCs w:val="18"/>
                <w:lang w:val="de-DE"/>
              </w:rPr>
              <w:t>29)</w:t>
            </w:r>
            <w:r>
              <w:rPr>
                <w:sz w:val="18"/>
                <w:szCs w:val="18"/>
                <w:lang w:val="de-DE"/>
              </w:rPr>
              <w:t>*</w:t>
            </w:r>
            <w:proofErr w:type="gramEnd"/>
          </w:p>
        </w:tc>
      </w:tr>
      <w:tr w:rsidR="00052E11" w:rsidRPr="002300EB" w14:paraId="1B0A483C" w14:textId="77777777" w:rsidTr="00A76F86">
        <w:tc>
          <w:tcPr>
            <w:tcW w:w="525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C9404F8" w14:textId="77777777" w:rsidR="00052E11" w:rsidRPr="002300EB" w:rsidRDefault="00052E11" w:rsidP="00052E11">
            <w:pPr>
              <w:rPr>
                <w:sz w:val="18"/>
                <w:szCs w:val="18"/>
              </w:rPr>
            </w:pPr>
            <w:r w:rsidRPr="002300EB">
              <w:rPr>
                <w:sz w:val="18"/>
                <w:szCs w:val="18"/>
              </w:rPr>
              <w:t>Class of Instrument</w:t>
            </w:r>
          </w:p>
        </w:tc>
        <w:tc>
          <w:tcPr>
            <w:tcW w:w="9327" w:type="dxa"/>
            <w:tcBorders>
              <w:top w:val="single" w:sz="12" w:space="0" w:color="auto"/>
              <w:left w:val="single" w:sz="4" w:space="0" w:color="auto"/>
              <w:bottom w:val="single" w:sz="12" w:space="0" w:color="auto"/>
              <w:right w:val="single" w:sz="12" w:space="0" w:color="auto"/>
            </w:tcBorders>
          </w:tcPr>
          <w:p w14:paraId="758F71B6" w14:textId="77777777" w:rsidR="00052E11" w:rsidRPr="002300EB" w:rsidRDefault="00052E11" w:rsidP="00052E11">
            <w:pPr>
              <w:spacing w:after="120"/>
              <w:jc w:val="both"/>
              <w:rPr>
                <w:color w:val="0000FF"/>
                <w:sz w:val="18"/>
                <w:szCs w:val="18"/>
              </w:rPr>
            </w:pPr>
            <w:r>
              <w:rPr>
                <w:sz w:val="18"/>
                <w:szCs w:val="18"/>
              </w:rPr>
              <w:t xml:space="preserve">Equity derivatives: Swaps and other equity derivatives </w:t>
            </w:r>
          </w:p>
        </w:tc>
      </w:tr>
      <w:tr w:rsidR="00052E11" w:rsidRPr="002300EB" w14:paraId="33EF2A4F" w14:textId="77777777" w:rsidTr="00A76F86">
        <w:tc>
          <w:tcPr>
            <w:tcW w:w="14580" w:type="dxa"/>
            <w:gridSpan w:val="2"/>
            <w:tcBorders>
              <w:top w:val="single" w:sz="12" w:space="0" w:color="auto"/>
              <w:left w:val="single" w:sz="12" w:space="0" w:color="auto"/>
              <w:right w:val="single" w:sz="12" w:space="0" w:color="auto"/>
            </w:tcBorders>
            <w:shd w:val="clear" w:color="auto" w:fill="D9D9D9" w:themeFill="background1" w:themeFillShade="D9"/>
          </w:tcPr>
          <w:p w14:paraId="7481D5AC" w14:textId="77777777" w:rsidR="00052E11" w:rsidRPr="002300EB" w:rsidRDefault="00052E11" w:rsidP="00052E11">
            <w:pPr>
              <w:jc w:val="center"/>
              <w:rPr>
                <w:sz w:val="18"/>
                <w:szCs w:val="18"/>
              </w:rPr>
            </w:pPr>
            <w:r w:rsidRPr="002300EB">
              <w:rPr>
                <w:sz w:val="18"/>
                <w:szCs w:val="18"/>
              </w:rPr>
              <w:t>Summary of Analysis</w:t>
            </w:r>
          </w:p>
        </w:tc>
      </w:tr>
      <w:tr w:rsidR="00052E11" w:rsidRPr="002300EB" w14:paraId="76E64D10" w14:textId="77777777" w:rsidTr="00A76F86">
        <w:trPr>
          <w:trHeight w:val="827"/>
        </w:trPr>
        <w:tc>
          <w:tcPr>
            <w:tcW w:w="14580" w:type="dxa"/>
            <w:gridSpan w:val="2"/>
            <w:tcBorders>
              <w:left w:val="single" w:sz="12" w:space="0" w:color="auto"/>
              <w:right w:val="single" w:sz="12" w:space="0" w:color="auto"/>
            </w:tcBorders>
          </w:tcPr>
          <w:p w14:paraId="7936F83B" w14:textId="77777777" w:rsidR="00052E11" w:rsidRPr="0025785A" w:rsidRDefault="00052E11" w:rsidP="00052E11">
            <w:pPr>
              <w:spacing w:after="120"/>
              <w:jc w:val="both"/>
              <w:rPr>
                <w:sz w:val="18"/>
                <w:szCs w:val="18"/>
              </w:rPr>
            </w:pPr>
            <w:r w:rsidRPr="0025785A">
              <w:rPr>
                <w:sz w:val="18"/>
                <w:szCs w:val="18"/>
              </w:rPr>
              <w:t xml:space="preserve">The </w:t>
            </w:r>
            <w:r>
              <w:rPr>
                <w:sz w:val="18"/>
                <w:szCs w:val="18"/>
              </w:rPr>
              <w:t>equity derivatives</w:t>
            </w:r>
            <w:r w:rsidRPr="0025785A">
              <w:rPr>
                <w:sz w:val="18"/>
                <w:szCs w:val="18"/>
              </w:rPr>
              <w:t xml:space="preserve"> products that have been subject to Best Execution are products falling under the Relevant Structured Products section of </w:t>
            </w:r>
            <w:r>
              <w:rPr>
                <w:sz w:val="18"/>
                <w:szCs w:val="18"/>
              </w:rPr>
              <w:t>the</w:t>
            </w:r>
            <w:r w:rsidRPr="00985B19">
              <w:rPr>
                <w:sz w:val="18"/>
                <w:szCs w:val="18"/>
              </w:rPr>
              <w:t xml:space="preserve"> </w:t>
            </w:r>
            <w:hyperlink r:id="rId22" w:history="1">
              <w:r>
                <w:rPr>
                  <w:rStyle w:val="Hyperlink"/>
                  <w:sz w:val="18"/>
                  <w:szCs w:val="18"/>
                </w:rPr>
                <w:t>J.P. Morgan EMEA Fixed Income, Currency, Commodities and OTC Equity Derivatives: Execution Policy Appendix 5</w:t>
              </w:r>
            </w:hyperlink>
            <w:r w:rsidRPr="0025785A">
              <w:rPr>
                <w:sz w:val="18"/>
                <w:szCs w:val="18"/>
              </w:rPr>
              <w:t xml:space="preserve">. Due to the nature of J.P. Morgan </w:t>
            </w:r>
            <w:r>
              <w:rPr>
                <w:sz w:val="18"/>
                <w:szCs w:val="18"/>
              </w:rPr>
              <w:t>SE’s</w:t>
            </w:r>
            <w:r w:rsidRPr="0025785A">
              <w:rPr>
                <w:sz w:val="18"/>
                <w:szCs w:val="18"/>
              </w:rPr>
              <w:t xml:space="preserve"> business, it owed Best Execution in limited circumstances </w:t>
            </w:r>
            <w:r w:rsidRPr="00D933FF">
              <w:rPr>
                <w:sz w:val="18"/>
                <w:szCs w:val="18"/>
              </w:rPr>
              <w:t xml:space="preserve">for </w:t>
            </w:r>
            <w:r>
              <w:rPr>
                <w:sz w:val="18"/>
                <w:szCs w:val="18"/>
              </w:rPr>
              <w:t>E</w:t>
            </w:r>
            <w:r w:rsidRPr="00D933FF">
              <w:rPr>
                <w:sz w:val="18"/>
                <w:szCs w:val="18"/>
              </w:rPr>
              <w:t>quity derivatives.</w:t>
            </w:r>
          </w:p>
          <w:p w14:paraId="4CDDDFFA" w14:textId="77777777" w:rsidR="00052E11" w:rsidRPr="002300EB" w:rsidRDefault="00052E11" w:rsidP="00052E11">
            <w:pPr>
              <w:spacing w:after="120"/>
              <w:jc w:val="both"/>
              <w:rPr>
                <w:sz w:val="18"/>
                <w:szCs w:val="18"/>
              </w:rPr>
            </w:pPr>
            <w:r w:rsidRPr="00C37120">
              <w:rPr>
                <w:sz w:val="18"/>
                <w:szCs w:val="18"/>
              </w:rPr>
              <w:t xml:space="preserve">J.P. Morgan </w:t>
            </w:r>
            <w:r>
              <w:rPr>
                <w:sz w:val="18"/>
                <w:szCs w:val="18"/>
              </w:rPr>
              <w:t>SE</w:t>
            </w:r>
            <w:r w:rsidRPr="00C37120">
              <w:rPr>
                <w:sz w:val="18"/>
                <w:szCs w:val="18"/>
              </w:rPr>
              <w:t xml:space="preserve"> has implemented procedures </w:t>
            </w:r>
            <w:proofErr w:type="gramStart"/>
            <w:r w:rsidRPr="00C37120">
              <w:rPr>
                <w:sz w:val="18"/>
                <w:szCs w:val="18"/>
              </w:rPr>
              <w:t>in order to</w:t>
            </w:r>
            <w:proofErr w:type="gramEnd"/>
            <w:r w:rsidRPr="00C37120">
              <w:rPr>
                <w:sz w:val="18"/>
                <w:szCs w:val="18"/>
              </w:rPr>
              <w:t xml:space="preserve">, on a regular basis, monitor the application of Best Execution to </w:t>
            </w:r>
            <w:r>
              <w:rPr>
                <w:sz w:val="18"/>
                <w:szCs w:val="18"/>
              </w:rPr>
              <w:t>equity</w:t>
            </w:r>
            <w:r w:rsidRPr="00C37120">
              <w:rPr>
                <w:sz w:val="18"/>
                <w:szCs w:val="18"/>
              </w:rPr>
              <w:t xml:space="preserve"> </w:t>
            </w:r>
            <w:r>
              <w:rPr>
                <w:sz w:val="18"/>
                <w:szCs w:val="18"/>
              </w:rPr>
              <w:t>d</w:t>
            </w:r>
            <w:r w:rsidRPr="00C37120">
              <w:rPr>
                <w:sz w:val="18"/>
                <w:szCs w:val="18"/>
              </w:rPr>
              <w:t xml:space="preserve">erivatives through post-trade controls performed independently by control-related functions. This monitoring identifies execution situations which are potentially subject to Best Execution as well as the correct application of </w:t>
            </w:r>
            <w:r>
              <w:rPr>
                <w:sz w:val="18"/>
                <w:szCs w:val="18"/>
              </w:rPr>
              <w:t>the</w:t>
            </w:r>
            <w:r w:rsidRPr="00985B19">
              <w:rPr>
                <w:sz w:val="18"/>
                <w:szCs w:val="18"/>
              </w:rPr>
              <w:t xml:space="preserve"> </w:t>
            </w:r>
            <w:hyperlink r:id="rId23" w:history="1">
              <w:r>
                <w:rPr>
                  <w:rStyle w:val="Hyperlink"/>
                  <w:sz w:val="18"/>
                  <w:szCs w:val="18"/>
                </w:rPr>
                <w:t>J.P. Morgan EMEA Fixed Income, Currency, Commodities and OTC Equity Derivatives: Execution Policy Appendix 5</w:t>
              </w:r>
            </w:hyperlink>
            <w:r w:rsidRPr="00C37120">
              <w:rPr>
                <w:sz w:val="18"/>
                <w:szCs w:val="18"/>
              </w:rPr>
              <w:t xml:space="preserve">. </w:t>
            </w:r>
            <w:r>
              <w:rPr>
                <w:sz w:val="18"/>
                <w:szCs w:val="18"/>
              </w:rPr>
              <w:t xml:space="preserve"> J.P. Morgan SE </w:t>
            </w:r>
            <w:r w:rsidRPr="00C37120">
              <w:rPr>
                <w:sz w:val="18"/>
                <w:szCs w:val="18"/>
              </w:rPr>
              <w:t>verified by means of these monitoring measures that its execution arrangements worked well throughout the different stages of the execution process.</w:t>
            </w:r>
          </w:p>
        </w:tc>
      </w:tr>
      <w:tr w:rsidR="00052E11" w:rsidRPr="002300EB" w14:paraId="581E13DF" w14:textId="77777777" w:rsidTr="00A76F86">
        <w:tc>
          <w:tcPr>
            <w:tcW w:w="5253" w:type="dxa"/>
            <w:tcBorders>
              <w:left w:val="single" w:sz="12" w:space="0" w:color="auto"/>
            </w:tcBorders>
            <w:shd w:val="clear" w:color="auto" w:fill="D9D9D9" w:themeFill="background1" w:themeFillShade="D9"/>
          </w:tcPr>
          <w:p w14:paraId="7C275772" w14:textId="77777777" w:rsidR="00052E11" w:rsidRPr="002300EB" w:rsidRDefault="00052E11" w:rsidP="00052E11">
            <w:pPr>
              <w:rPr>
                <w:sz w:val="18"/>
                <w:szCs w:val="18"/>
              </w:rPr>
            </w:pPr>
            <w:r w:rsidRPr="002300EB">
              <w:rPr>
                <w:sz w:val="18"/>
                <w:szCs w:val="18"/>
              </w:rPr>
              <w:t>Relative importance given to execution factors &amp; other considerations</w:t>
            </w:r>
          </w:p>
        </w:tc>
        <w:tc>
          <w:tcPr>
            <w:tcW w:w="9327" w:type="dxa"/>
            <w:tcBorders>
              <w:right w:val="single" w:sz="12" w:space="0" w:color="auto"/>
            </w:tcBorders>
          </w:tcPr>
          <w:p w14:paraId="0C529B57" w14:textId="77777777" w:rsidR="00052E11" w:rsidRPr="0025785A" w:rsidRDefault="00052E11" w:rsidP="00052E11">
            <w:pPr>
              <w:spacing w:after="120"/>
              <w:jc w:val="both"/>
              <w:rPr>
                <w:sz w:val="18"/>
                <w:szCs w:val="18"/>
              </w:rPr>
            </w:pPr>
            <w:r w:rsidRPr="00C37120">
              <w:rPr>
                <w:sz w:val="18"/>
                <w:szCs w:val="18"/>
              </w:rPr>
              <w:t xml:space="preserve">The relative importance given to execution factors and other considerations when J.P. Morgan </w:t>
            </w:r>
            <w:r>
              <w:rPr>
                <w:sz w:val="18"/>
                <w:szCs w:val="18"/>
              </w:rPr>
              <w:t>SE</w:t>
            </w:r>
            <w:r w:rsidRPr="00C37120">
              <w:rPr>
                <w:sz w:val="18"/>
                <w:szCs w:val="18"/>
              </w:rPr>
              <w:t xml:space="preserve"> owes Best Execution is set out under the </w:t>
            </w:r>
            <w:r w:rsidRPr="0025785A">
              <w:rPr>
                <w:sz w:val="18"/>
                <w:szCs w:val="18"/>
              </w:rPr>
              <w:t>Relevant Structured Products section of</w:t>
            </w:r>
            <w:r>
              <w:rPr>
                <w:sz w:val="18"/>
                <w:szCs w:val="18"/>
              </w:rPr>
              <w:t xml:space="preserve"> the</w:t>
            </w:r>
            <w:r w:rsidRPr="00985B19">
              <w:rPr>
                <w:sz w:val="18"/>
                <w:szCs w:val="18"/>
              </w:rPr>
              <w:t xml:space="preserve"> </w:t>
            </w:r>
            <w:hyperlink r:id="rId24" w:history="1">
              <w:r>
                <w:rPr>
                  <w:rStyle w:val="Hyperlink"/>
                  <w:sz w:val="18"/>
                  <w:szCs w:val="18"/>
                </w:rPr>
                <w:t>J.P. Morgan EMEA Fixed Income, Currency, Commodities and OTC Equity Derivatives: Execution Policy Appendix 5</w:t>
              </w:r>
            </w:hyperlink>
            <w:r w:rsidRPr="0025785A">
              <w:rPr>
                <w:sz w:val="18"/>
                <w:szCs w:val="18"/>
              </w:rPr>
              <w:t xml:space="preserve">. </w:t>
            </w:r>
          </w:p>
        </w:tc>
      </w:tr>
      <w:tr w:rsidR="00052E11" w:rsidRPr="002300EB" w14:paraId="50837519" w14:textId="77777777" w:rsidTr="00A76F86">
        <w:tc>
          <w:tcPr>
            <w:tcW w:w="5253" w:type="dxa"/>
            <w:tcBorders>
              <w:left w:val="single" w:sz="12" w:space="0" w:color="auto"/>
            </w:tcBorders>
            <w:shd w:val="clear" w:color="auto" w:fill="D9D9D9" w:themeFill="background1" w:themeFillShade="D9"/>
          </w:tcPr>
          <w:p w14:paraId="14ED45DB" w14:textId="77777777" w:rsidR="00052E11" w:rsidRPr="002300EB" w:rsidRDefault="00052E11" w:rsidP="00052E11">
            <w:pPr>
              <w:rPr>
                <w:sz w:val="18"/>
                <w:szCs w:val="18"/>
              </w:rPr>
            </w:pPr>
            <w:r w:rsidRPr="002300EB">
              <w:rPr>
                <w:sz w:val="18"/>
                <w:szCs w:val="18"/>
              </w:rPr>
              <w:t>Execution venue close links / conflicts of interest / common ownerships</w:t>
            </w:r>
          </w:p>
        </w:tc>
        <w:tc>
          <w:tcPr>
            <w:tcW w:w="9327" w:type="dxa"/>
            <w:tcBorders>
              <w:right w:val="single" w:sz="12" w:space="0" w:color="auto"/>
            </w:tcBorders>
          </w:tcPr>
          <w:p w14:paraId="6D9D8EFD" w14:textId="77777777" w:rsidR="00052E11" w:rsidRPr="002300EB" w:rsidRDefault="00052E11" w:rsidP="00052E11">
            <w:pPr>
              <w:rPr>
                <w:sz w:val="18"/>
                <w:szCs w:val="18"/>
              </w:rPr>
            </w:pPr>
            <w:r w:rsidRPr="002300EB">
              <w:rPr>
                <w:sz w:val="18"/>
                <w:szCs w:val="18"/>
              </w:rPr>
              <w:t xml:space="preserve">J.P. Morgan </w:t>
            </w:r>
            <w:r>
              <w:rPr>
                <w:sz w:val="18"/>
                <w:szCs w:val="18"/>
              </w:rPr>
              <w:t>SE</w:t>
            </w:r>
            <w:r w:rsidRPr="002300EB">
              <w:rPr>
                <w:sz w:val="18"/>
                <w:szCs w:val="18"/>
              </w:rPr>
              <w:t xml:space="preserve"> is a fully owned subsidiary of JPMorgan Chase &amp; Co.</w:t>
            </w:r>
          </w:p>
        </w:tc>
      </w:tr>
      <w:tr w:rsidR="00052E11" w:rsidRPr="002300EB" w14:paraId="33EA565C" w14:textId="77777777" w:rsidTr="00A76F86">
        <w:trPr>
          <w:trHeight w:val="305"/>
        </w:trPr>
        <w:tc>
          <w:tcPr>
            <w:tcW w:w="5253" w:type="dxa"/>
            <w:tcBorders>
              <w:left w:val="single" w:sz="12" w:space="0" w:color="auto"/>
            </w:tcBorders>
            <w:shd w:val="clear" w:color="auto" w:fill="D9D9D9" w:themeFill="background1" w:themeFillShade="D9"/>
          </w:tcPr>
          <w:p w14:paraId="5E301D37" w14:textId="77777777" w:rsidR="00052E11" w:rsidRPr="002300EB" w:rsidRDefault="00052E11" w:rsidP="00052E11">
            <w:pPr>
              <w:rPr>
                <w:sz w:val="18"/>
                <w:szCs w:val="18"/>
              </w:rPr>
            </w:pPr>
            <w:r w:rsidRPr="002300EB">
              <w:rPr>
                <w:sz w:val="18"/>
                <w:szCs w:val="18"/>
              </w:rPr>
              <w:t>Specific execution venue arrangements</w:t>
            </w:r>
          </w:p>
        </w:tc>
        <w:tc>
          <w:tcPr>
            <w:tcW w:w="9327" w:type="dxa"/>
            <w:tcBorders>
              <w:right w:val="single" w:sz="12" w:space="0" w:color="auto"/>
            </w:tcBorders>
          </w:tcPr>
          <w:p w14:paraId="76DDBEB6" w14:textId="77777777" w:rsidR="00052E11" w:rsidRPr="002300EB" w:rsidRDefault="00052E11" w:rsidP="00052E11">
            <w:pPr>
              <w:rPr>
                <w:sz w:val="18"/>
                <w:szCs w:val="18"/>
              </w:rPr>
            </w:pPr>
            <w:r w:rsidRPr="002300EB">
              <w:rPr>
                <w:sz w:val="18"/>
                <w:szCs w:val="18"/>
              </w:rPr>
              <w:t xml:space="preserve">J.P. Morgan </w:t>
            </w:r>
            <w:r>
              <w:rPr>
                <w:sz w:val="18"/>
                <w:szCs w:val="18"/>
              </w:rPr>
              <w:t>SE</w:t>
            </w:r>
            <w:r w:rsidRPr="002300EB">
              <w:rPr>
                <w:sz w:val="18"/>
                <w:szCs w:val="18"/>
              </w:rPr>
              <w:t xml:space="preserve"> is the sole execution venue. </w:t>
            </w:r>
          </w:p>
        </w:tc>
      </w:tr>
      <w:tr w:rsidR="00052E11" w:rsidRPr="002300EB" w14:paraId="4D2F2E43" w14:textId="77777777" w:rsidTr="00A76F86">
        <w:trPr>
          <w:trHeight w:val="368"/>
        </w:trPr>
        <w:tc>
          <w:tcPr>
            <w:tcW w:w="5253" w:type="dxa"/>
            <w:tcBorders>
              <w:left w:val="single" w:sz="12" w:space="0" w:color="auto"/>
            </w:tcBorders>
            <w:shd w:val="clear" w:color="auto" w:fill="D9D9D9" w:themeFill="background1" w:themeFillShade="D9"/>
          </w:tcPr>
          <w:p w14:paraId="3FFFE635" w14:textId="77777777" w:rsidR="00052E11" w:rsidRPr="002300EB" w:rsidRDefault="00052E11" w:rsidP="00052E11">
            <w:pPr>
              <w:rPr>
                <w:sz w:val="18"/>
                <w:szCs w:val="18"/>
              </w:rPr>
            </w:pPr>
            <w:r w:rsidRPr="002300EB">
              <w:rPr>
                <w:sz w:val="18"/>
                <w:szCs w:val="18"/>
              </w:rPr>
              <w:t>Changes to execution venues</w:t>
            </w:r>
          </w:p>
        </w:tc>
        <w:tc>
          <w:tcPr>
            <w:tcW w:w="9327" w:type="dxa"/>
            <w:tcBorders>
              <w:right w:val="single" w:sz="12" w:space="0" w:color="auto"/>
            </w:tcBorders>
          </w:tcPr>
          <w:p w14:paraId="572F507A" w14:textId="77777777" w:rsidR="00052E11" w:rsidRPr="002300EB" w:rsidRDefault="00052E11" w:rsidP="00052E11">
            <w:pPr>
              <w:spacing w:after="120"/>
              <w:rPr>
                <w:sz w:val="18"/>
                <w:szCs w:val="18"/>
              </w:rPr>
            </w:pPr>
            <w:r w:rsidRPr="002300EB">
              <w:rPr>
                <w:sz w:val="18"/>
                <w:szCs w:val="18"/>
              </w:rPr>
              <w:t>Not Applicable</w:t>
            </w:r>
          </w:p>
        </w:tc>
      </w:tr>
      <w:tr w:rsidR="006C4994" w:rsidRPr="002300EB" w14:paraId="4946365E" w14:textId="77777777" w:rsidTr="00A76F86">
        <w:trPr>
          <w:trHeight w:val="440"/>
        </w:trPr>
        <w:tc>
          <w:tcPr>
            <w:tcW w:w="5253" w:type="dxa"/>
            <w:tcBorders>
              <w:left w:val="single" w:sz="12" w:space="0" w:color="auto"/>
            </w:tcBorders>
            <w:shd w:val="clear" w:color="auto" w:fill="D9D9D9" w:themeFill="background1" w:themeFillShade="D9"/>
          </w:tcPr>
          <w:p w14:paraId="260EA74B" w14:textId="77777777" w:rsidR="006C4994" w:rsidRPr="002300EB" w:rsidRDefault="006C4994" w:rsidP="006C4994">
            <w:pPr>
              <w:rPr>
                <w:sz w:val="18"/>
                <w:szCs w:val="18"/>
              </w:rPr>
            </w:pPr>
            <w:r w:rsidRPr="005B09B0">
              <w:rPr>
                <w:rFonts w:ascii="Calibri" w:eastAsia="Calibri" w:hAnsi="Calibri" w:cs="Times New Roman"/>
                <w:sz w:val="18"/>
                <w:szCs w:val="18"/>
              </w:rPr>
              <w:t>Client distinctions</w:t>
            </w:r>
          </w:p>
        </w:tc>
        <w:tc>
          <w:tcPr>
            <w:tcW w:w="9327" w:type="dxa"/>
            <w:tcBorders>
              <w:right w:val="single" w:sz="12" w:space="0" w:color="auto"/>
            </w:tcBorders>
          </w:tcPr>
          <w:p w14:paraId="07A9052E" w14:textId="77777777" w:rsidR="006C4994" w:rsidRDefault="006C4994" w:rsidP="006C4994">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7A387493" w14:textId="77777777" w:rsidR="006C4994" w:rsidRDefault="006C4994" w:rsidP="006C4994">
            <w:pPr>
              <w:spacing w:after="120"/>
              <w:rPr>
                <w:sz w:val="18"/>
                <w:szCs w:val="18"/>
              </w:rPr>
            </w:pPr>
            <w:r>
              <w:rPr>
                <w:sz w:val="18"/>
                <w:szCs w:val="18"/>
              </w:rPr>
              <w:t xml:space="preserve">JPMSE CIB only deals with Professional Clients. </w:t>
            </w:r>
          </w:p>
          <w:p w14:paraId="62DD1473" w14:textId="77777777" w:rsidR="006C4994" w:rsidRDefault="006C4994" w:rsidP="006C4994">
            <w:pPr>
              <w:rPr>
                <w:sz w:val="18"/>
                <w:szCs w:val="18"/>
              </w:rPr>
            </w:pPr>
            <w:r>
              <w:rPr>
                <w:sz w:val="18"/>
                <w:szCs w:val="18"/>
              </w:rPr>
              <w:t xml:space="preserve">However, JPMSE PB deals with both Professional and Retail Clients and its Best Execution disclosures can be found </w:t>
            </w:r>
            <w:hyperlink r:id="rId25" w:history="1">
              <w:r>
                <w:rPr>
                  <w:rStyle w:val="Hyperlink"/>
                  <w:sz w:val="18"/>
                  <w:szCs w:val="18"/>
                </w:rPr>
                <w:t>here</w:t>
              </w:r>
            </w:hyperlink>
            <w:r>
              <w:rPr>
                <w:sz w:val="18"/>
                <w:szCs w:val="18"/>
              </w:rPr>
              <w:t>.</w:t>
            </w:r>
          </w:p>
          <w:p w14:paraId="46FBE9D4" w14:textId="6E853697" w:rsidR="006C4994" w:rsidRPr="002300EB" w:rsidRDefault="006C4994" w:rsidP="006C4994">
            <w:pPr>
              <w:rPr>
                <w:sz w:val="18"/>
                <w:szCs w:val="18"/>
              </w:rPr>
            </w:pPr>
          </w:p>
        </w:tc>
      </w:tr>
      <w:tr w:rsidR="006C4994" w:rsidRPr="002300EB" w14:paraId="09684262" w14:textId="77777777" w:rsidTr="00A76F86">
        <w:tc>
          <w:tcPr>
            <w:tcW w:w="5253" w:type="dxa"/>
            <w:tcBorders>
              <w:left w:val="single" w:sz="12" w:space="0" w:color="auto"/>
            </w:tcBorders>
            <w:shd w:val="clear" w:color="auto" w:fill="D9D9D9" w:themeFill="background1" w:themeFillShade="D9"/>
          </w:tcPr>
          <w:p w14:paraId="25A09183" w14:textId="77777777" w:rsidR="006C4994" w:rsidRPr="002300EB" w:rsidRDefault="006C4994" w:rsidP="006C4994">
            <w:pPr>
              <w:rPr>
                <w:sz w:val="18"/>
                <w:szCs w:val="18"/>
              </w:rPr>
            </w:pPr>
            <w:r>
              <w:rPr>
                <w:rFonts w:ascii="Calibri" w:eastAsia="Calibri" w:hAnsi="Calibri" w:cs="Times New Roman"/>
                <w:sz w:val="18"/>
                <w:szCs w:val="18"/>
              </w:rPr>
              <w:t>Retail Client Orders</w:t>
            </w:r>
          </w:p>
        </w:tc>
        <w:tc>
          <w:tcPr>
            <w:tcW w:w="9327" w:type="dxa"/>
            <w:tcBorders>
              <w:right w:val="single" w:sz="12" w:space="0" w:color="auto"/>
            </w:tcBorders>
            <w:shd w:val="clear" w:color="auto" w:fill="auto"/>
          </w:tcPr>
          <w:p w14:paraId="1BFB0E82" w14:textId="77777777" w:rsidR="006C4994" w:rsidRPr="002300EB" w:rsidRDefault="006C4994" w:rsidP="006C4994">
            <w:pPr>
              <w:spacing w:after="120"/>
              <w:rPr>
                <w:sz w:val="18"/>
                <w:szCs w:val="18"/>
              </w:rPr>
            </w:pPr>
            <w:r w:rsidRPr="00EC5BE7">
              <w:rPr>
                <w:sz w:val="18"/>
                <w:szCs w:val="18"/>
              </w:rPr>
              <w:t>See above</w:t>
            </w:r>
          </w:p>
        </w:tc>
      </w:tr>
      <w:tr w:rsidR="006C4994" w:rsidRPr="002300EB" w14:paraId="25017CFB" w14:textId="77777777" w:rsidTr="00A76F86">
        <w:trPr>
          <w:trHeight w:val="70"/>
        </w:trPr>
        <w:tc>
          <w:tcPr>
            <w:tcW w:w="5253" w:type="dxa"/>
            <w:tcBorders>
              <w:left w:val="single" w:sz="12" w:space="0" w:color="auto"/>
            </w:tcBorders>
            <w:shd w:val="clear" w:color="auto" w:fill="D9D9D9" w:themeFill="background1" w:themeFillShade="D9"/>
          </w:tcPr>
          <w:p w14:paraId="7FC76311" w14:textId="77777777" w:rsidR="006C4994" w:rsidRPr="002300EB" w:rsidRDefault="006C4994" w:rsidP="006C4994">
            <w:pPr>
              <w:rPr>
                <w:sz w:val="18"/>
                <w:szCs w:val="18"/>
              </w:rPr>
            </w:pPr>
            <w:r w:rsidRPr="002300EB">
              <w:rPr>
                <w:sz w:val="18"/>
                <w:szCs w:val="18"/>
              </w:rPr>
              <w:t>Use of data/tools relating to the quality of execution</w:t>
            </w:r>
          </w:p>
        </w:tc>
        <w:tc>
          <w:tcPr>
            <w:tcW w:w="9327" w:type="dxa"/>
            <w:tcBorders>
              <w:right w:val="single" w:sz="12" w:space="0" w:color="auto"/>
            </w:tcBorders>
          </w:tcPr>
          <w:p w14:paraId="1F308F98" w14:textId="77777777" w:rsidR="006C4994" w:rsidRPr="002300EB" w:rsidRDefault="006C4994" w:rsidP="006C4994">
            <w:pPr>
              <w:spacing w:after="120"/>
              <w:rPr>
                <w:sz w:val="18"/>
                <w:szCs w:val="18"/>
              </w:rPr>
            </w:pPr>
            <w:r w:rsidRPr="00C37120">
              <w:rPr>
                <w:sz w:val="18"/>
                <w:szCs w:val="18"/>
              </w:rPr>
              <w:t xml:space="preserve">J.P. Morgan </w:t>
            </w:r>
            <w:r>
              <w:rPr>
                <w:sz w:val="18"/>
                <w:szCs w:val="18"/>
              </w:rPr>
              <w:t>SE</w:t>
            </w:r>
            <w:r w:rsidRPr="00C37120">
              <w:rPr>
                <w:sz w:val="18"/>
                <w:szCs w:val="18"/>
              </w:rPr>
              <w:t xml:space="preserve"> assessed the fairness of pricing of transactions subject to Best Execution by reviewing relevant pricing considerations and available market data in respect of the time of execution.</w:t>
            </w:r>
          </w:p>
        </w:tc>
      </w:tr>
      <w:tr w:rsidR="006C4994" w:rsidRPr="002300EB" w14:paraId="0F6D5972" w14:textId="77777777" w:rsidTr="00A76F86">
        <w:tc>
          <w:tcPr>
            <w:tcW w:w="5253" w:type="dxa"/>
            <w:tcBorders>
              <w:left w:val="single" w:sz="12" w:space="0" w:color="auto"/>
              <w:bottom w:val="single" w:sz="12" w:space="0" w:color="auto"/>
            </w:tcBorders>
            <w:shd w:val="clear" w:color="auto" w:fill="D9D9D9" w:themeFill="background1" w:themeFillShade="D9"/>
          </w:tcPr>
          <w:p w14:paraId="45247CF4" w14:textId="77777777" w:rsidR="006C4994" w:rsidRPr="002300EB" w:rsidRDefault="006C4994" w:rsidP="006C4994">
            <w:pPr>
              <w:rPr>
                <w:sz w:val="18"/>
                <w:szCs w:val="18"/>
              </w:rPr>
            </w:pPr>
            <w:r w:rsidRPr="002300EB">
              <w:rPr>
                <w:sz w:val="18"/>
                <w:szCs w:val="18"/>
              </w:rPr>
              <w:t>Use of consolidated tape provider output or other algorithms to assess execution performances</w:t>
            </w:r>
          </w:p>
        </w:tc>
        <w:tc>
          <w:tcPr>
            <w:tcW w:w="9327" w:type="dxa"/>
            <w:tcBorders>
              <w:bottom w:val="single" w:sz="12" w:space="0" w:color="auto"/>
              <w:right w:val="single" w:sz="12" w:space="0" w:color="auto"/>
            </w:tcBorders>
          </w:tcPr>
          <w:p w14:paraId="23DA7954" w14:textId="77777777" w:rsidR="006C4994" w:rsidRPr="002300EB" w:rsidRDefault="006C4994" w:rsidP="006C4994">
            <w:pPr>
              <w:spacing w:after="120"/>
              <w:rPr>
                <w:sz w:val="18"/>
                <w:szCs w:val="18"/>
              </w:rPr>
            </w:pPr>
            <w:r w:rsidRPr="002300EB">
              <w:rPr>
                <w:sz w:val="18"/>
                <w:szCs w:val="18"/>
              </w:rPr>
              <w:t>Not Applicable</w:t>
            </w:r>
          </w:p>
        </w:tc>
      </w:tr>
    </w:tbl>
    <w:p w14:paraId="0C150753" w14:textId="7F6BA70F" w:rsidR="004F5047" w:rsidRDefault="004F5047">
      <w:pPr>
        <w:rPr>
          <w:color w:val="FF0000"/>
          <w:sz w:val="18"/>
          <w:szCs w:val="18"/>
        </w:rPr>
      </w:pPr>
      <w:r>
        <w:rPr>
          <w:color w:val="FF0000"/>
          <w:sz w:val="18"/>
          <w:szCs w:val="18"/>
        </w:rPr>
        <w:br w:type="page"/>
      </w:r>
    </w:p>
    <w:tbl>
      <w:tblPr>
        <w:tblStyle w:val="TableGrid"/>
        <w:tblW w:w="14580" w:type="dxa"/>
        <w:tblInd w:w="-375" w:type="dxa"/>
        <w:tblLook w:val="04A0" w:firstRow="1" w:lastRow="0" w:firstColumn="1" w:lastColumn="0" w:noHBand="0" w:noVBand="1"/>
      </w:tblPr>
      <w:tblGrid>
        <w:gridCol w:w="5253"/>
        <w:gridCol w:w="9327"/>
      </w:tblGrid>
      <w:tr w:rsidR="003D4ADF" w:rsidRPr="00CA56F7" w14:paraId="298FA22E" w14:textId="77777777" w:rsidTr="00A76F86">
        <w:tc>
          <w:tcPr>
            <w:tcW w:w="525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90BDACC" w14:textId="77777777" w:rsidR="003D4ADF" w:rsidRPr="002300EB" w:rsidRDefault="003D4ADF" w:rsidP="00785F60">
            <w:pPr>
              <w:rPr>
                <w:sz w:val="18"/>
                <w:szCs w:val="18"/>
              </w:rPr>
            </w:pPr>
            <w:r w:rsidRPr="002300EB">
              <w:rPr>
                <w:sz w:val="18"/>
                <w:szCs w:val="18"/>
              </w:rPr>
              <w:lastRenderedPageBreak/>
              <w:t>Legal Entity</w:t>
            </w:r>
          </w:p>
        </w:tc>
        <w:tc>
          <w:tcPr>
            <w:tcW w:w="9327" w:type="dxa"/>
            <w:tcBorders>
              <w:top w:val="single" w:sz="12" w:space="0" w:color="auto"/>
              <w:left w:val="single" w:sz="4" w:space="0" w:color="auto"/>
              <w:bottom w:val="single" w:sz="12" w:space="0" w:color="auto"/>
              <w:right w:val="single" w:sz="12" w:space="0" w:color="auto"/>
            </w:tcBorders>
          </w:tcPr>
          <w:p w14:paraId="66D58D03" w14:textId="77777777" w:rsidR="003D4ADF" w:rsidRPr="008C46FE" w:rsidRDefault="003D4ADF" w:rsidP="00785F60">
            <w:pPr>
              <w:spacing w:after="120"/>
              <w:jc w:val="both"/>
              <w:rPr>
                <w:sz w:val="18"/>
                <w:szCs w:val="18"/>
                <w:lang w:val="de-DE"/>
              </w:rPr>
            </w:pPr>
            <w:r w:rsidRPr="008C46FE">
              <w:rPr>
                <w:sz w:val="18"/>
                <w:szCs w:val="18"/>
                <w:lang w:val="de-DE"/>
              </w:rPr>
              <w:t xml:space="preserve">J.P. Morgan </w:t>
            </w:r>
            <w:r>
              <w:rPr>
                <w:sz w:val="18"/>
                <w:szCs w:val="18"/>
                <w:lang w:val="de-DE"/>
              </w:rPr>
              <w:t>SE</w:t>
            </w:r>
            <w:r w:rsidRPr="008C46FE">
              <w:rPr>
                <w:sz w:val="18"/>
                <w:szCs w:val="18"/>
                <w:lang w:val="de-DE"/>
              </w:rPr>
              <w:t xml:space="preserve"> (549300ZK53CNGEEI6A</w:t>
            </w:r>
            <w:proofErr w:type="gramStart"/>
            <w:r w:rsidRPr="008C46FE">
              <w:rPr>
                <w:sz w:val="18"/>
                <w:szCs w:val="18"/>
                <w:lang w:val="de-DE"/>
              </w:rPr>
              <w:t>29)</w:t>
            </w:r>
            <w:r>
              <w:rPr>
                <w:sz w:val="18"/>
                <w:szCs w:val="18"/>
                <w:lang w:val="de-DE"/>
              </w:rPr>
              <w:t>*</w:t>
            </w:r>
            <w:proofErr w:type="gramEnd"/>
          </w:p>
        </w:tc>
      </w:tr>
      <w:tr w:rsidR="003D4ADF" w:rsidRPr="002300EB" w14:paraId="2D28E5B1" w14:textId="77777777" w:rsidTr="00A76F86">
        <w:tc>
          <w:tcPr>
            <w:tcW w:w="525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64D7C61" w14:textId="77777777" w:rsidR="003D4ADF" w:rsidRPr="002300EB" w:rsidRDefault="003D4ADF" w:rsidP="00785F60">
            <w:pPr>
              <w:rPr>
                <w:sz w:val="18"/>
                <w:szCs w:val="18"/>
              </w:rPr>
            </w:pPr>
            <w:r w:rsidRPr="002300EB">
              <w:rPr>
                <w:sz w:val="18"/>
                <w:szCs w:val="18"/>
              </w:rPr>
              <w:t>Class of Instrument</w:t>
            </w:r>
          </w:p>
        </w:tc>
        <w:tc>
          <w:tcPr>
            <w:tcW w:w="9327" w:type="dxa"/>
            <w:tcBorders>
              <w:top w:val="single" w:sz="12" w:space="0" w:color="auto"/>
              <w:left w:val="single" w:sz="4" w:space="0" w:color="auto"/>
              <w:bottom w:val="single" w:sz="12" w:space="0" w:color="auto"/>
              <w:right w:val="single" w:sz="12" w:space="0" w:color="auto"/>
            </w:tcBorders>
          </w:tcPr>
          <w:p w14:paraId="65A95B85" w14:textId="77777777" w:rsidR="003D4ADF" w:rsidRPr="002300EB" w:rsidRDefault="003D4ADF" w:rsidP="00785F60">
            <w:pPr>
              <w:spacing w:after="120"/>
              <w:jc w:val="both"/>
              <w:rPr>
                <w:color w:val="0000FF"/>
                <w:sz w:val="18"/>
                <w:szCs w:val="18"/>
              </w:rPr>
            </w:pPr>
            <w:r w:rsidRPr="002300EB">
              <w:rPr>
                <w:sz w:val="18"/>
                <w:szCs w:val="18"/>
              </w:rPr>
              <w:t>Securi</w:t>
            </w:r>
            <w:r>
              <w:rPr>
                <w:sz w:val="18"/>
                <w:szCs w:val="18"/>
              </w:rPr>
              <w:t xml:space="preserve">tized Derivatives: Other securitized derivatives </w:t>
            </w:r>
          </w:p>
        </w:tc>
      </w:tr>
      <w:tr w:rsidR="003D4ADF" w:rsidRPr="002300EB" w14:paraId="51F24211" w14:textId="77777777" w:rsidTr="00A76F86">
        <w:tc>
          <w:tcPr>
            <w:tcW w:w="14580" w:type="dxa"/>
            <w:gridSpan w:val="2"/>
            <w:tcBorders>
              <w:top w:val="single" w:sz="12" w:space="0" w:color="auto"/>
              <w:left w:val="single" w:sz="12" w:space="0" w:color="auto"/>
              <w:right w:val="single" w:sz="12" w:space="0" w:color="auto"/>
            </w:tcBorders>
            <w:shd w:val="clear" w:color="auto" w:fill="D9D9D9" w:themeFill="background1" w:themeFillShade="D9"/>
          </w:tcPr>
          <w:p w14:paraId="1500921E" w14:textId="77777777" w:rsidR="003D4ADF" w:rsidRPr="002300EB" w:rsidRDefault="003D4ADF" w:rsidP="00785F60">
            <w:pPr>
              <w:jc w:val="center"/>
              <w:rPr>
                <w:sz w:val="18"/>
                <w:szCs w:val="18"/>
              </w:rPr>
            </w:pPr>
            <w:r w:rsidRPr="002300EB">
              <w:rPr>
                <w:sz w:val="18"/>
                <w:szCs w:val="18"/>
              </w:rPr>
              <w:t>Summary of Analysis</w:t>
            </w:r>
          </w:p>
        </w:tc>
      </w:tr>
      <w:tr w:rsidR="003D4ADF" w:rsidRPr="002300EB" w14:paraId="6CDB38E2" w14:textId="77777777" w:rsidTr="00A76F86">
        <w:trPr>
          <w:trHeight w:val="827"/>
        </w:trPr>
        <w:tc>
          <w:tcPr>
            <w:tcW w:w="14580" w:type="dxa"/>
            <w:gridSpan w:val="2"/>
            <w:tcBorders>
              <w:left w:val="single" w:sz="12" w:space="0" w:color="auto"/>
              <w:right w:val="single" w:sz="12" w:space="0" w:color="auto"/>
            </w:tcBorders>
          </w:tcPr>
          <w:p w14:paraId="55DD76B8" w14:textId="77777777" w:rsidR="003D4ADF" w:rsidRPr="0025785A" w:rsidRDefault="003D4ADF" w:rsidP="00785F60">
            <w:pPr>
              <w:spacing w:after="120"/>
              <w:jc w:val="both"/>
              <w:rPr>
                <w:sz w:val="18"/>
                <w:szCs w:val="18"/>
              </w:rPr>
            </w:pPr>
            <w:r w:rsidRPr="0025785A">
              <w:rPr>
                <w:sz w:val="18"/>
                <w:szCs w:val="18"/>
              </w:rPr>
              <w:t xml:space="preserve">The </w:t>
            </w:r>
            <w:r>
              <w:rPr>
                <w:sz w:val="18"/>
                <w:szCs w:val="18"/>
              </w:rPr>
              <w:t>Securitized Derivatives</w:t>
            </w:r>
            <w:r w:rsidRPr="0025785A">
              <w:rPr>
                <w:sz w:val="18"/>
                <w:szCs w:val="18"/>
              </w:rPr>
              <w:t xml:space="preserve"> products that have been subject to Best Execution are products falling under the Relevant Structured Products section of </w:t>
            </w:r>
            <w:hyperlink r:id="rId26" w:history="1">
              <w:r w:rsidRPr="0025785A">
                <w:rPr>
                  <w:rStyle w:val="Hyperlink"/>
                  <w:sz w:val="18"/>
                  <w:szCs w:val="18"/>
                </w:rPr>
                <w:t>Appendix 5</w:t>
              </w:r>
            </w:hyperlink>
            <w:r w:rsidRPr="0025785A">
              <w:rPr>
                <w:sz w:val="18"/>
                <w:szCs w:val="18"/>
              </w:rPr>
              <w:t xml:space="preserve"> to the </w:t>
            </w:r>
            <w:hyperlink r:id="rId27" w:history="1">
              <w:r w:rsidRPr="0025785A">
                <w:rPr>
                  <w:rStyle w:val="Hyperlink"/>
                  <w:sz w:val="18"/>
                  <w:szCs w:val="18"/>
                </w:rPr>
                <w:t>J.P. Morgan Execution Policy</w:t>
              </w:r>
            </w:hyperlink>
            <w:r w:rsidRPr="0025785A">
              <w:rPr>
                <w:sz w:val="18"/>
                <w:szCs w:val="18"/>
              </w:rPr>
              <w:t xml:space="preserve">. Due to the nature of J.P. Morgan </w:t>
            </w:r>
            <w:r>
              <w:rPr>
                <w:sz w:val="18"/>
                <w:szCs w:val="18"/>
              </w:rPr>
              <w:t>SE’s</w:t>
            </w:r>
            <w:r w:rsidRPr="0025785A">
              <w:rPr>
                <w:sz w:val="18"/>
                <w:szCs w:val="18"/>
              </w:rPr>
              <w:t xml:space="preserve"> business, it owed Best Execution in limited circumstances for </w:t>
            </w:r>
            <w:r>
              <w:rPr>
                <w:sz w:val="18"/>
                <w:szCs w:val="18"/>
              </w:rPr>
              <w:t>Securitized</w:t>
            </w:r>
            <w:r w:rsidRPr="0025785A">
              <w:rPr>
                <w:sz w:val="18"/>
                <w:szCs w:val="18"/>
              </w:rPr>
              <w:t xml:space="preserve"> </w:t>
            </w:r>
            <w:r>
              <w:rPr>
                <w:sz w:val="18"/>
                <w:szCs w:val="18"/>
              </w:rPr>
              <w:t>D</w:t>
            </w:r>
            <w:r w:rsidRPr="0025785A">
              <w:rPr>
                <w:sz w:val="18"/>
                <w:szCs w:val="18"/>
              </w:rPr>
              <w:t>erivatives.</w:t>
            </w:r>
          </w:p>
          <w:p w14:paraId="2C2043F1" w14:textId="77777777" w:rsidR="003D4ADF" w:rsidRPr="002300EB" w:rsidRDefault="003D4ADF" w:rsidP="00785F60">
            <w:pPr>
              <w:spacing w:after="120"/>
              <w:jc w:val="both"/>
              <w:rPr>
                <w:sz w:val="18"/>
                <w:szCs w:val="18"/>
              </w:rPr>
            </w:pPr>
            <w:r w:rsidRPr="00C37120">
              <w:rPr>
                <w:sz w:val="18"/>
                <w:szCs w:val="18"/>
              </w:rPr>
              <w:t xml:space="preserve">J.P. Morgan </w:t>
            </w:r>
            <w:r>
              <w:rPr>
                <w:sz w:val="18"/>
                <w:szCs w:val="18"/>
              </w:rPr>
              <w:t>SE</w:t>
            </w:r>
            <w:r w:rsidRPr="00C37120">
              <w:rPr>
                <w:sz w:val="18"/>
                <w:szCs w:val="18"/>
              </w:rPr>
              <w:t xml:space="preserve"> has implemented procedures </w:t>
            </w:r>
            <w:proofErr w:type="gramStart"/>
            <w:r w:rsidRPr="00C37120">
              <w:rPr>
                <w:sz w:val="18"/>
                <w:szCs w:val="18"/>
              </w:rPr>
              <w:t>in order to</w:t>
            </w:r>
            <w:proofErr w:type="gramEnd"/>
            <w:r w:rsidRPr="00C37120">
              <w:rPr>
                <w:sz w:val="18"/>
                <w:szCs w:val="18"/>
              </w:rPr>
              <w:t xml:space="preserve">, on a regular basis, monitor the application of Best Execution to Securitized Derivatives through post-trade controls performed independently by control-related functions. This monitoring identifies execution situations which are potentially subject to Best Execution as well as the correct application of the </w:t>
            </w:r>
            <w:hyperlink r:id="rId28" w:history="1">
              <w:r w:rsidRPr="0025785A">
                <w:rPr>
                  <w:rStyle w:val="Hyperlink"/>
                  <w:sz w:val="18"/>
                  <w:szCs w:val="18"/>
                </w:rPr>
                <w:t>J.P. Morgan Execution Policy</w:t>
              </w:r>
            </w:hyperlink>
            <w:r w:rsidRPr="00C37120">
              <w:rPr>
                <w:sz w:val="18"/>
                <w:szCs w:val="18"/>
              </w:rPr>
              <w:t xml:space="preserve">. </w:t>
            </w:r>
            <w:r>
              <w:rPr>
                <w:sz w:val="18"/>
                <w:szCs w:val="18"/>
              </w:rPr>
              <w:t xml:space="preserve"> J.P. Morgan SE </w:t>
            </w:r>
            <w:r w:rsidRPr="00C37120">
              <w:rPr>
                <w:sz w:val="18"/>
                <w:szCs w:val="18"/>
              </w:rPr>
              <w:t>verified by means of these monitoring measures that its execution arrangements worked well throughout the different stages of the execution process.</w:t>
            </w:r>
          </w:p>
        </w:tc>
      </w:tr>
      <w:tr w:rsidR="003D4ADF" w:rsidRPr="002300EB" w14:paraId="6594D93A" w14:textId="77777777" w:rsidTr="00A76F86">
        <w:tc>
          <w:tcPr>
            <w:tcW w:w="5253" w:type="dxa"/>
            <w:tcBorders>
              <w:left w:val="single" w:sz="12" w:space="0" w:color="auto"/>
            </w:tcBorders>
            <w:shd w:val="clear" w:color="auto" w:fill="D9D9D9" w:themeFill="background1" w:themeFillShade="D9"/>
          </w:tcPr>
          <w:p w14:paraId="3122291E" w14:textId="77777777" w:rsidR="003D4ADF" w:rsidRPr="002300EB" w:rsidRDefault="003D4ADF" w:rsidP="00785F60">
            <w:pPr>
              <w:rPr>
                <w:sz w:val="18"/>
                <w:szCs w:val="18"/>
              </w:rPr>
            </w:pPr>
            <w:r w:rsidRPr="002300EB">
              <w:rPr>
                <w:sz w:val="18"/>
                <w:szCs w:val="18"/>
              </w:rPr>
              <w:t>Relative importance given to execution factors &amp; other considerations</w:t>
            </w:r>
          </w:p>
        </w:tc>
        <w:tc>
          <w:tcPr>
            <w:tcW w:w="9327" w:type="dxa"/>
            <w:tcBorders>
              <w:right w:val="single" w:sz="12" w:space="0" w:color="auto"/>
            </w:tcBorders>
          </w:tcPr>
          <w:p w14:paraId="069036D9" w14:textId="77777777" w:rsidR="003D4ADF" w:rsidRPr="0025785A" w:rsidRDefault="003D4ADF" w:rsidP="00785F60">
            <w:pPr>
              <w:spacing w:after="120"/>
              <w:jc w:val="both"/>
              <w:rPr>
                <w:sz w:val="18"/>
                <w:szCs w:val="18"/>
              </w:rPr>
            </w:pPr>
            <w:r w:rsidRPr="00C37120">
              <w:rPr>
                <w:sz w:val="18"/>
                <w:szCs w:val="18"/>
              </w:rPr>
              <w:t xml:space="preserve">The relative importance given to execution factors and other considerations when J.P. Morgan </w:t>
            </w:r>
            <w:r>
              <w:rPr>
                <w:sz w:val="18"/>
                <w:szCs w:val="18"/>
              </w:rPr>
              <w:t>SE</w:t>
            </w:r>
            <w:r w:rsidRPr="00C37120">
              <w:rPr>
                <w:sz w:val="18"/>
                <w:szCs w:val="18"/>
              </w:rPr>
              <w:t xml:space="preserve"> owes Best Execution is set out under the </w:t>
            </w:r>
            <w:r w:rsidRPr="0025785A">
              <w:rPr>
                <w:sz w:val="18"/>
                <w:szCs w:val="18"/>
              </w:rPr>
              <w:t xml:space="preserve">Relevant Structured Products section of </w:t>
            </w:r>
            <w:hyperlink r:id="rId29" w:history="1">
              <w:r w:rsidRPr="0025785A">
                <w:rPr>
                  <w:rStyle w:val="Hyperlink"/>
                  <w:sz w:val="18"/>
                  <w:szCs w:val="18"/>
                </w:rPr>
                <w:t xml:space="preserve">Appendix 5 </w:t>
              </w:r>
            </w:hyperlink>
            <w:r w:rsidRPr="0025785A">
              <w:rPr>
                <w:sz w:val="18"/>
                <w:szCs w:val="18"/>
              </w:rPr>
              <w:t xml:space="preserve">to the </w:t>
            </w:r>
            <w:hyperlink r:id="rId30" w:history="1">
              <w:r w:rsidRPr="0025785A">
                <w:rPr>
                  <w:rStyle w:val="Hyperlink"/>
                  <w:sz w:val="18"/>
                  <w:szCs w:val="18"/>
                </w:rPr>
                <w:t>J.P. Morgan Execution Policy</w:t>
              </w:r>
            </w:hyperlink>
            <w:r w:rsidRPr="0025785A">
              <w:rPr>
                <w:sz w:val="18"/>
                <w:szCs w:val="18"/>
              </w:rPr>
              <w:t xml:space="preserve">. </w:t>
            </w:r>
          </w:p>
        </w:tc>
      </w:tr>
      <w:tr w:rsidR="003D4ADF" w:rsidRPr="002300EB" w14:paraId="71405B0C" w14:textId="77777777" w:rsidTr="00A76F86">
        <w:tc>
          <w:tcPr>
            <w:tcW w:w="5253" w:type="dxa"/>
            <w:tcBorders>
              <w:left w:val="single" w:sz="12" w:space="0" w:color="auto"/>
            </w:tcBorders>
            <w:shd w:val="clear" w:color="auto" w:fill="D9D9D9" w:themeFill="background1" w:themeFillShade="D9"/>
          </w:tcPr>
          <w:p w14:paraId="1A5E8154" w14:textId="77777777" w:rsidR="003D4ADF" w:rsidRPr="002300EB" w:rsidRDefault="003D4ADF" w:rsidP="00785F60">
            <w:pPr>
              <w:rPr>
                <w:sz w:val="18"/>
                <w:szCs w:val="18"/>
              </w:rPr>
            </w:pPr>
            <w:r w:rsidRPr="002300EB">
              <w:rPr>
                <w:sz w:val="18"/>
                <w:szCs w:val="18"/>
              </w:rPr>
              <w:t>Execution venue close links / conflicts of interest / common ownerships</w:t>
            </w:r>
          </w:p>
        </w:tc>
        <w:tc>
          <w:tcPr>
            <w:tcW w:w="9327" w:type="dxa"/>
            <w:tcBorders>
              <w:right w:val="single" w:sz="12" w:space="0" w:color="auto"/>
            </w:tcBorders>
          </w:tcPr>
          <w:p w14:paraId="369445A3" w14:textId="77777777" w:rsidR="003D4ADF" w:rsidRPr="002300EB" w:rsidRDefault="003D4ADF" w:rsidP="00785F60">
            <w:pPr>
              <w:rPr>
                <w:sz w:val="18"/>
                <w:szCs w:val="18"/>
              </w:rPr>
            </w:pPr>
            <w:r w:rsidRPr="002300EB">
              <w:rPr>
                <w:sz w:val="18"/>
                <w:szCs w:val="18"/>
              </w:rPr>
              <w:t xml:space="preserve">J.P. Morgan </w:t>
            </w:r>
            <w:r>
              <w:rPr>
                <w:sz w:val="18"/>
                <w:szCs w:val="18"/>
              </w:rPr>
              <w:t>SE</w:t>
            </w:r>
            <w:r w:rsidRPr="002300EB">
              <w:rPr>
                <w:sz w:val="18"/>
                <w:szCs w:val="18"/>
              </w:rPr>
              <w:t xml:space="preserve"> is a fully owned subsidiary of JPMorgan Chase &amp; Co.</w:t>
            </w:r>
          </w:p>
        </w:tc>
      </w:tr>
      <w:tr w:rsidR="003D4ADF" w:rsidRPr="002300EB" w14:paraId="10B62BBB" w14:textId="77777777" w:rsidTr="00A76F86">
        <w:trPr>
          <w:trHeight w:val="413"/>
        </w:trPr>
        <w:tc>
          <w:tcPr>
            <w:tcW w:w="5253" w:type="dxa"/>
            <w:tcBorders>
              <w:left w:val="single" w:sz="12" w:space="0" w:color="auto"/>
            </w:tcBorders>
            <w:shd w:val="clear" w:color="auto" w:fill="D9D9D9" w:themeFill="background1" w:themeFillShade="D9"/>
          </w:tcPr>
          <w:p w14:paraId="4CF1DD96" w14:textId="77777777" w:rsidR="003D4ADF" w:rsidRPr="002300EB" w:rsidRDefault="003D4ADF" w:rsidP="00785F60">
            <w:pPr>
              <w:rPr>
                <w:sz w:val="18"/>
                <w:szCs w:val="18"/>
              </w:rPr>
            </w:pPr>
            <w:r w:rsidRPr="002300EB">
              <w:rPr>
                <w:sz w:val="18"/>
                <w:szCs w:val="18"/>
              </w:rPr>
              <w:t>Specific execution venue arrangements</w:t>
            </w:r>
          </w:p>
        </w:tc>
        <w:tc>
          <w:tcPr>
            <w:tcW w:w="9327" w:type="dxa"/>
            <w:tcBorders>
              <w:right w:val="single" w:sz="12" w:space="0" w:color="auto"/>
            </w:tcBorders>
          </w:tcPr>
          <w:p w14:paraId="75CE91A4" w14:textId="77777777" w:rsidR="003D4ADF" w:rsidRPr="002300EB" w:rsidRDefault="003D4ADF" w:rsidP="00785F60">
            <w:pPr>
              <w:rPr>
                <w:sz w:val="18"/>
                <w:szCs w:val="18"/>
              </w:rPr>
            </w:pPr>
            <w:r w:rsidRPr="002300EB">
              <w:rPr>
                <w:sz w:val="18"/>
                <w:szCs w:val="18"/>
              </w:rPr>
              <w:t xml:space="preserve">J.P. Morgan </w:t>
            </w:r>
            <w:r>
              <w:rPr>
                <w:sz w:val="18"/>
                <w:szCs w:val="18"/>
              </w:rPr>
              <w:t>SE</w:t>
            </w:r>
            <w:r w:rsidRPr="002300EB">
              <w:rPr>
                <w:sz w:val="18"/>
                <w:szCs w:val="18"/>
              </w:rPr>
              <w:t xml:space="preserve"> is the sole execution venue. </w:t>
            </w:r>
          </w:p>
        </w:tc>
      </w:tr>
      <w:tr w:rsidR="003D4ADF" w:rsidRPr="002300EB" w14:paraId="0EF98A50" w14:textId="77777777" w:rsidTr="00A76F86">
        <w:trPr>
          <w:trHeight w:val="368"/>
        </w:trPr>
        <w:tc>
          <w:tcPr>
            <w:tcW w:w="5253" w:type="dxa"/>
            <w:tcBorders>
              <w:left w:val="single" w:sz="12" w:space="0" w:color="auto"/>
            </w:tcBorders>
            <w:shd w:val="clear" w:color="auto" w:fill="D9D9D9" w:themeFill="background1" w:themeFillShade="D9"/>
          </w:tcPr>
          <w:p w14:paraId="37B84ED2" w14:textId="77777777" w:rsidR="003D4ADF" w:rsidRPr="002300EB" w:rsidRDefault="003D4ADF" w:rsidP="00785F60">
            <w:pPr>
              <w:rPr>
                <w:sz w:val="18"/>
                <w:szCs w:val="18"/>
              </w:rPr>
            </w:pPr>
            <w:r w:rsidRPr="002300EB">
              <w:rPr>
                <w:sz w:val="18"/>
                <w:szCs w:val="18"/>
              </w:rPr>
              <w:t>Changes to execution venues</w:t>
            </w:r>
          </w:p>
        </w:tc>
        <w:tc>
          <w:tcPr>
            <w:tcW w:w="9327" w:type="dxa"/>
            <w:tcBorders>
              <w:right w:val="single" w:sz="12" w:space="0" w:color="auto"/>
            </w:tcBorders>
          </w:tcPr>
          <w:p w14:paraId="34B4965F" w14:textId="77777777" w:rsidR="003D4ADF" w:rsidRPr="002300EB" w:rsidRDefault="003D4ADF" w:rsidP="00785F60">
            <w:pPr>
              <w:spacing w:after="120"/>
              <w:rPr>
                <w:sz w:val="18"/>
                <w:szCs w:val="18"/>
              </w:rPr>
            </w:pPr>
            <w:r w:rsidRPr="002300EB">
              <w:rPr>
                <w:sz w:val="18"/>
                <w:szCs w:val="18"/>
              </w:rPr>
              <w:t>Not Applicable</w:t>
            </w:r>
          </w:p>
        </w:tc>
      </w:tr>
      <w:tr w:rsidR="006C4994" w:rsidRPr="002300EB" w14:paraId="48A11056" w14:textId="77777777" w:rsidTr="000735A6">
        <w:trPr>
          <w:trHeight w:val="1286"/>
        </w:trPr>
        <w:tc>
          <w:tcPr>
            <w:tcW w:w="5253" w:type="dxa"/>
            <w:tcBorders>
              <w:left w:val="single" w:sz="12" w:space="0" w:color="auto"/>
            </w:tcBorders>
            <w:shd w:val="clear" w:color="auto" w:fill="D9D9D9" w:themeFill="background1" w:themeFillShade="D9"/>
          </w:tcPr>
          <w:p w14:paraId="163BE3B3" w14:textId="77777777" w:rsidR="006C4994" w:rsidRPr="002300EB" w:rsidRDefault="006C4994" w:rsidP="006C4994">
            <w:pPr>
              <w:rPr>
                <w:sz w:val="18"/>
                <w:szCs w:val="18"/>
              </w:rPr>
            </w:pPr>
            <w:r w:rsidRPr="005B09B0">
              <w:rPr>
                <w:rFonts w:ascii="Calibri" w:eastAsia="Calibri" w:hAnsi="Calibri" w:cs="Times New Roman"/>
                <w:sz w:val="18"/>
                <w:szCs w:val="18"/>
              </w:rPr>
              <w:t>Client distinctions</w:t>
            </w:r>
          </w:p>
        </w:tc>
        <w:tc>
          <w:tcPr>
            <w:tcW w:w="9327" w:type="dxa"/>
            <w:tcBorders>
              <w:right w:val="single" w:sz="12" w:space="0" w:color="auto"/>
            </w:tcBorders>
            <w:shd w:val="clear" w:color="auto" w:fill="auto"/>
          </w:tcPr>
          <w:p w14:paraId="3321D078" w14:textId="77777777" w:rsidR="006C4994" w:rsidRDefault="006C4994" w:rsidP="006C4994">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33475D57" w14:textId="77777777" w:rsidR="006C4994" w:rsidRDefault="006C4994" w:rsidP="006C4994">
            <w:pPr>
              <w:spacing w:after="120"/>
              <w:rPr>
                <w:sz w:val="18"/>
                <w:szCs w:val="18"/>
              </w:rPr>
            </w:pPr>
            <w:r>
              <w:rPr>
                <w:sz w:val="18"/>
                <w:szCs w:val="18"/>
              </w:rPr>
              <w:t xml:space="preserve">JPMSE CIB only deals with Professional Clients. </w:t>
            </w:r>
          </w:p>
          <w:p w14:paraId="53D4B2F6" w14:textId="77777777" w:rsidR="006C4994" w:rsidRDefault="006C4994" w:rsidP="006C4994">
            <w:pPr>
              <w:rPr>
                <w:sz w:val="18"/>
                <w:szCs w:val="18"/>
              </w:rPr>
            </w:pPr>
            <w:r>
              <w:rPr>
                <w:sz w:val="18"/>
                <w:szCs w:val="18"/>
              </w:rPr>
              <w:t xml:space="preserve">However, JPMSE PB deals with both Professional and Retail Clients and its Best Execution disclosures can be found </w:t>
            </w:r>
            <w:hyperlink r:id="rId31" w:history="1">
              <w:r>
                <w:rPr>
                  <w:rStyle w:val="Hyperlink"/>
                  <w:sz w:val="18"/>
                  <w:szCs w:val="18"/>
                </w:rPr>
                <w:t>here</w:t>
              </w:r>
            </w:hyperlink>
            <w:r>
              <w:rPr>
                <w:sz w:val="18"/>
                <w:szCs w:val="18"/>
              </w:rPr>
              <w:t>.</w:t>
            </w:r>
          </w:p>
          <w:p w14:paraId="4D015EDD" w14:textId="56667317" w:rsidR="006C4994" w:rsidRPr="009D645F" w:rsidRDefault="006C4994" w:rsidP="006C4994">
            <w:pPr>
              <w:spacing w:after="120"/>
              <w:rPr>
                <w:sz w:val="18"/>
                <w:szCs w:val="18"/>
              </w:rPr>
            </w:pPr>
          </w:p>
        </w:tc>
      </w:tr>
      <w:tr w:rsidR="006C4994" w:rsidRPr="002300EB" w14:paraId="16622CEB" w14:textId="77777777" w:rsidTr="00A76F86">
        <w:tc>
          <w:tcPr>
            <w:tcW w:w="5253" w:type="dxa"/>
            <w:tcBorders>
              <w:left w:val="single" w:sz="12" w:space="0" w:color="auto"/>
            </w:tcBorders>
            <w:shd w:val="clear" w:color="auto" w:fill="D9D9D9" w:themeFill="background1" w:themeFillShade="D9"/>
          </w:tcPr>
          <w:p w14:paraId="65FC9B17" w14:textId="77777777" w:rsidR="006C4994" w:rsidRPr="002300EB" w:rsidRDefault="006C4994" w:rsidP="006C4994">
            <w:pPr>
              <w:rPr>
                <w:sz w:val="18"/>
                <w:szCs w:val="18"/>
              </w:rPr>
            </w:pPr>
            <w:r>
              <w:rPr>
                <w:rFonts w:ascii="Calibri" w:eastAsia="Calibri" w:hAnsi="Calibri" w:cs="Times New Roman"/>
                <w:sz w:val="18"/>
                <w:szCs w:val="18"/>
              </w:rPr>
              <w:t>Retail Client Orders</w:t>
            </w:r>
          </w:p>
        </w:tc>
        <w:tc>
          <w:tcPr>
            <w:tcW w:w="9327" w:type="dxa"/>
            <w:tcBorders>
              <w:right w:val="single" w:sz="12" w:space="0" w:color="auto"/>
            </w:tcBorders>
            <w:shd w:val="clear" w:color="auto" w:fill="auto"/>
          </w:tcPr>
          <w:p w14:paraId="26D6B81E" w14:textId="77777777" w:rsidR="006C4994" w:rsidRPr="009D645F" w:rsidRDefault="006C4994" w:rsidP="006C4994">
            <w:pPr>
              <w:spacing w:after="120"/>
              <w:rPr>
                <w:sz w:val="18"/>
                <w:szCs w:val="18"/>
              </w:rPr>
            </w:pPr>
            <w:r w:rsidRPr="009D645F">
              <w:rPr>
                <w:sz w:val="18"/>
                <w:szCs w:val="18"/>
              </w:rPr>
              <w:t>See above</w:t>
            </w:r>
          </w:p>
        </w:tc>
      </w:tr>
      <w:tr w:rsidR="006C4994" w:rsidRPr="002300EB" w14:paraId="5BBEDCF3" w14:textId="77777777" w:rsidTr="00A76F86">
        <w:trPr>
          <w:trHeight w:val="70"/>
        </w:trPr>
        <w:tc>
          <w:tcPr>
            <w:tcW w:w="5253" w:type="dxa"/>
            <w:tcBorders>
              <w:left w:val="single" w:sz="12" w:space="0" w:color="auto"/>
            </w:tcBorders>
            <w:shd w:val="clear" w:color="auto" w:fill="D9D9D9" w:themeFill="background1" w:themeFillShade="D9"/>
          </w:tcPr>
          <w:p w14:paraId="4F61FAED" w14:textId="77777777" w:rsidR="006C4994" w:rsidRPr="002300EB" w:rsidRDefault="006C4994" w:rsidP="006C4994">
            <w:pPr>
              <w:rPr>
                <w:sz w:val="18"/>
                <w:szCs w:val="18"/>
              </w:rPr>
            </w:pPr>
            <w:r w:rsidRPr="002300EB">
              <w:rPr>
                <w:sz w:val="18"/>
                <w:szCs w:val="18"/>
              </w:rPr>
              <w:t>Use of data/tools relating to the quality of execution</w:t>
            </w:r>
          </w:p>
        </w:tc>
        <w:tc>
          <w:tcPr>
            <w:tcW w:w="9327" w:type="dxa"/>
            <w:tcBorders>
              <w:right w:val="single" w:sz="12" w:space="0" w:color="auto"/>
            </w:tcBorders>
          </w:tcPr>
          <w:p w14:paraId="7CE441D7" w14:textId="77777777" w:rsidR="006C4994" w:rsidRPr="002300EB" w:rsidRDefault="006C4994" w:rsidP="006C4994">
            <w:pPr>
              <w:spacing w:after="120"/>
              <w:rPr>
                <w:sz w:val="18"/>
                <w:szCs w:val="18"/>
              </w:rPr>
            </w:pPr>
            <w:r w:rsidRPr="00C37120">
              <w:rPr>
                <w:sz w:val="18"/>
                <w:szCs w:val="18"/>
              </w:rPr>
              <w:t xml:space="preserve">J.P. Morgan </w:t>
            </w:r>
            <w:r>
              <w:rPr>
                <w:sz w:val="18"/>
                <w:szCs w:val="18"/>
              </w:rPr>
              <w:t>SE</w:t>
            </w:r>
            <w:r w:rsidRPr="00C37120">
              <w:rPr>
                <w:sz w:val="18"/>
                <w:szCs w:val="18"/>
              </w:rPr>
              <w:t xml:space="preserve"> assessed the fairness of pricing of transactions subject to Best Execution by reviewing relevant pricing considerations and available market data in respect of the time of execution.</w:t>
            </w:r>
          </w:p>
        </w:tc>
      </w:tr>
      <w:tr w:rsidR="006C4994" w:rsidRPr="002300EB" w14:paraId="7A587CB6" w14:textId="77777777" w:rsidTr="00A76F86">
        <w:tc>
          <w:tcPr>
            <w:tcW w:w="5253" w:type="dxa"/>
            <w:tcBorders>
              <w:left w:val="single" w:sz="12" w:space="0" w:color="auto"/>
              <w:bottom w:val="single" w:sz="12" w:space="0" w:color="auto"/>
            </w:tcBorders>
            <w:shd w:val="clear" w:color="auto" w:fill="D9D9D9" w:themeFill="background1" w:themeFillShade="D9"/>
          </w:tcPr>
          <w:p w14:paraId="442F3C41" w14:textId="77777777" w:rsidR="006C4994" w:rsidRPr="002300EB" w:rsidRDefault="006C4994" w:rsidP="006C4994">
            <w:pPr>
              <w:rPr>
                <w:sz w:val="18"/>
                <w:szCs w:val="18"/>
              </w:rPr>
            </w:pPr>
            <w:r w:rsidRPr="002300EB">
              <w:rPr>
                <w:sz w:val="18"/>
                <w:szCs w:val="18"/>
              </w:rPr>
              <w:t>Use of consolidated tape provider output or other algorithms to assess execution performances</w:t>
            </w:r>
          </w:p>
        </w:tc>
        <w:tc>
          <w:tcPr>
            <w:tcW w:w="9327" w:type="dxa"/>
            <w:tcBorders>
              <w:bottom w:val="single" w:sz="12" w:space="0" w:color="auto"/>
              <w:right w:val="single" w:sz="12" w:space="0" w:color="auto"/>
            </w:tcBorders>
          </w:tcPr>
          <w:p w14:paraId="63276B9E" w14:textId="77777777" w:rsidR="006C4994" w:rsidRPr="002300EB" w:rsidRDefault="006C4994" w:rsidP="006C4994">
            <w:pPr>
              <w:spacing w:after="120"/>
              <w:rPr>
                <w:sz w:val="18"/>
                <w:szCs w:val="18"/>
              </w:rPr>
            </w:pPr>
            <w:r w:rsidRPr="002300EB">
              <w:rPr>
                <w:sz w:val="18"/>
                <w:szCs w:val="18"/>
              </w:rPr>
              <w:t>Not Applicable</w:t>
            </w:r>
          </w:p>
        </w:tc>
      </w:tr>
    </w:tbl>
    <w:p w14:paraId="2FB55D09" w14:textId="77777777" w:rsidR="003D4ADF" w:rsidRDefault="003D4ADF" w:rsidP="003D4ADF">
      <w:pPr>
        <w:rPr>
          <w:color w:val="FF0000"/>
          <w:sz w:val="18"/>
          <w:szCs w:val="18"/>
        </w:rPr>
      </w:pPr>
    </w:p>
    <w:p w14:paraId="5FF4E3E8" w14:textId="79422EB9" w:rsidR="00D42916" w:rsidRDefault="00D42916">
      <w:pPr>
        <w:rPr>
          <w:color w:val="FF0000"/>
          <w:sz w:val="18"/>
          <w:szCs w:val="18"/>
        </w:rPr>
      </w:pPr>
      <w:r>
        <w:rPr>
          <w:color w:val="FF0000"/>
          <w:sz w:val="18"/>
          <w:szCs w:val="18"/>
        </w:rPr>
        <w:br w:type="page"/>
      </w:r>
    </w:p>
    <w:tbl>
      <w:tblPr>
        <w:tblStyle w:val="TableGrid"/>
        <w:tblW w:w="14580" w:type="dxa"/>
        <w:tblInd w:w="-375" w:type="dxa"/>
        <w:tblLook w:val="04A0" w:firstRow="1" w:lastRow="0" w:firstColumn="1" w:lastColumn="0" w:noHBand="0" w:noVBand="1"/>
      </w:tblPr>
      <w:tblGrid>
        <w:gridCol w:w="5253"/>
        <w:gridCol w:w="9327"/>
      </w:tblGrid>
      <w:tr w:rsidR="00D42916" w:rsidRPr="002300EB" w14:paraId="4B6E6085" w14:textId="77777777" w:rsidTr="00A76F86">
        <w:tc>
          <w:tcPr>
            <w:tcW w:w="525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9676AE0" w14:textId="77777777" w:rsidR="00D42916" w:rsidRPr="00985B19" w:rsidRDefault="00D42916" w:rsidP="00785F60">
            <w:pPr>
              <w:rPr>
                <w:sz w:val="18"/>
                <w:szCs w:val="18"/>
              </w:rPr>
            </w:pPr>
            <w:r w:rsidRPr="00985B19">
              <w:rPr>
                <w:sz w:val="18"/>
                <w:szCs w:val="18"/>
              </w:rPr>
              <w:lastRenderedPageBreak/>
              <w:t>Legal Entity</w:t>
            </w:r>
          </w:p>
        </w:tc>
        <w:tc>
          <w:tcPr>
            <w:tcW w:w="9327" w:type="dxa"/>
            <w:tcBorders>
              <w:top w:val="single" w:sz="12" w:space="0" w:color="auto"/>
              <w:left w:val="single" w:sz="4" w:space="0" w:color="auto"/>
              <w:bottom w:val="single" w:sz="12" w:space="0" w:color="auto"/>
              <w:right w:val="single" w:sz="12" w:space="0" w:color="auto"/>
            </w:tcBorders>
          </w:tcPr>
          <w:p w14:paraId="7F7BCCD7" w14:textId="77777777" w:rsidR="00D42916" w:rsidRPr="00985B19" w:rsidRDefault="00D42916" w:rsidP="00785F60">
            <w:pPr>
              <w:spacing w:after="120"/>
              <w:jc w:val="both"/>
              <w:rPr>
                <w:sz w:val="18"/>
                <w:szCs w:val="18"/>
              </w:rPr>
            </w:pPr>
            <w:r w:rsidRPr="00985B19">
              <w:rPr>
                <w:sz w:val="18"/>
                <w:szCs w:val="18"/>
              </w:rPr>
              <w:t xml:space="preserve">J.P. Morgan </w:t>
            </w:r>
            <w:r>
              <w:rPr>
                <w:sz w:val="18"/>
                <w:szCs w:val="18"/>
              </w:rPr>
              <w:t>SE</w:t>
            </w:r>
            <w:r w:rsidRPr="00985B19">
              <w:rPr>
                <w:sz w:val="18"/>
                <w:szCs w:val="18"/>
              </w:rPr>
              <w:t xml:space="preserve"> (549300ZK53CNGEEI6A</w:t>
            </w:r>
            <w:proofErr w:type="gramStart"/>
            <w:r w:rsidRPr="00985B19">
              <w:rPr>
                <w:sz w:val="18"/>
                <w:szCs w:val="18"/>
              </w:rPr>
              <w:t>29)</w:t>
            </w:r>
            <w:r>
              <w:rPr>
                <w:sz w:val="18"/>
                <w:szCs w:val="18"/>
              </w:rPr>
              <w:t>*</w:t>
            </w:r>
            <w:proofErr w:type="gramEnd"/>
          </w:p>
        </w:tc>
      </w:tr>
      <w:tr w:rsidR="00D42916" w:rsidRPr="002300EB" w14:paraId="28737DFA" w14:textId="77777777" w:rsidTr="00A76F86">
        <w:tc>
          <w:tcPr>
            <w:tcW w:w="525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479B770" w14:textId="77777777" w:rsidR="00D42916" w:rsidRPr="00985B19" w:rsidRDefault="00D42916" w:rsidP="00785F60">
            <w:pPr>
              <w:rPr>
                <w:sz w:val="18"/>
                <w:szCs w:val="18"/>
              </w:rPr>
            </w:pPr>
            <w:r w:rsidRPr="00985B19">
              <w:rPr>
                <w:sz w:val="18"/>
                <w:szCs w:val="18"/>
              </w:rPr>
              <w:t>Class of Instrument</w:t>
            </w:r>
          </w:p>
        </w:tc>
        <w:tc>
          <w:tcPr>
            <w:tcW w:w="9327" w:type="dxa"/>
            <w:tcBorders>
              <w:top w:val="single" w:sz="12" w:space="0" w:color="auto"/>
              <w:left w:val="single" w:sz="4" w:space="0" w:color="auto"/>
              <w:bottom w:val="single" w:sz="12" w:space="0" w:color="auto"/>
              <w:right w:val="single" w:sz="12" w:space="0" w:color="auto"/>
            </w:tcBorders>
          </w:tcPr>
          <w:p w14:paraId="2C7F3DD2" w14:textId="77777777" w:rsidR="00D42916" w:rsidRPr="00985B19" w:rsidRDefault="00D42916" w:rsidP="00785F60">
            <w:pPr>
              <w:spacing w:after="120"/>
              <w:jc w:val="both"/>
              <w:rPr>
                <w:color w:val="0000FF"/>
                <w:sz w:val="18"/>
                <w:szCs w:val="18"/>
              </w:rPr>
            </w:pPr>
            <w:r w:rsidRPr="00985B19">
              <w:rPr>
                <w:sz w:val="18"/>
                <w:szCs w:val="18"/>
              </w:rPr>
              <w:t xml:space="preserve">Commodities </w:t>
            </w:r>
            <w:r>
              <w:rPr>
                <w:sz w:val="18"/>
                <w:szCs w:val="18"/>
              </w:rPr>
              <w:t>d</w:t>
            </w:r>
            <w:r w:rsidRPr="00985B19">
              <w:rPr>
                <w:sz w:val="18"/>
                <w:szCs w:val="18"/>
              </w:rPr>
              <w:t xml:space="preserve">erivatives </w:t>
            </w:r>
            <w:r>
              <w:rPr>
                <w:sz w:val="18"/>
                <w:szCs w:val="18"/>
              </w:rPr>
              <w:t>a</w:t>
            </w:r>
            <w:r w:rsidRPr="00985B19">
              <w:rPr>
                <w:sz w:val="18"/>
                <w:szCs w:val="18"/>
              </w:rPr>
              <w:t xml:space="preserve">nd </w:t>
            </w:r>
            <w:r>
              <w:rPr>
                <w:sz w:val="18"/>
                <w:szCs w:val="18"/>
              </w:rPr>
              <w:t>e</w:t>
            </w:r>
            <w:r w:rsidRPr="00985B19">
              <w:rPr>
                <w:sz w:val="18"/>
                <w:szCs w:val="18"/>
              </w:rPr>
              <w:t xml:space="preserve">mission </w:t>
            </w:r>
            <w:r>
              <w:rPr>
                <w:sz w:val="18"/>
                <w:szCs w:val="18"/>
              </w:rPr>
              <w:t>a</w:t>
            </w:r>
            <w:r w:rsidRPr="00985B19">
              <w:rPr>
                <w:sz w:val="18"/>
                <w:szCs w:val="18"/>
              </w:rPr>
              <w:t xml:space="preserve">llowances </w:t>
            </w:r>
            <w:r>
              <w:rPr>
                <w:sz w:val="18"/>
                <w:szCs w:val="18"/>
              </w:rPr>
              <w:t>d</w:t>
            </w:r>
            <w:r w:rsidRPr="00985B19">
              <w:rPr>
                <w:sz w:val="18"/>
                <w:szCs w:val="18"/>
              </w:rPr>
              <w:t xml:space="preserve">erivatives: Other </w:t>
            </w:r>
            <w:r>
              <w:rPr>
                <w:sz w:val="18"/>
                <w:szCs w:val="18"/>
              </w:rPr>
              <w:t>c</w:t>
            </w:r>
            <w:r w:rsidRPr="00985B19">
              <w:rPr>
                <w:sz w:val="18"/>
                <w:szCs w:val="18"/>
              </w:rPr>
              <w:t xml:space="preserve">ommodities </w:t>
            </w:r>
            <w:r>
              <w:rPr>
                <w:sz w:val="18"/>
                <w:szCs w:val="18"/>
              </w:rPr>
              <w:t>d</w:t>
            </w:r>
            <w:r w:rsidRPr="00985B19">
              <w:rPr>
                <w:sz w:val="18"/>
                <w:szCs w:val="18"/>
              </w:rPr>
              <w:t xml:space="preserve">erivatives </w:t>
            </w:r>
            <w:r>
              <w:rPr>
                <w:sz w:val="18"/>
                <w:szCs w:val="18"/>
              </w:rPr>
              <w:t>a</w:t>
            </w:r>
            <w:r w:rsidRPr="00985B19">
              <w:rPr>
                <w:sz w:val="18"/>
                <w:szCs w:val="18"/>
              </w:rPr>
              <w:t xml:space="preserve">nd </w:t>
            </w:r>
            <w:r>
              <w:rPr>
                <w:sz w:val="18"/>
                <w:szCs w:val="18"/>
              </w:rPr>
              <w:t>e</w:t>
            </w:r>
            <w:r w:rsidRPr="00985B19">
              <w:rPr>
                <w:sz w:val="18"/>
                <w:szCs w:val="18"/>
              </w:rPr>
              <w:t xml:space="preserve">mission </w:t>
            </w:r>
            <w:r>
              <w:rPr>
                <w:sz w:val="18"/>
                <w:szCs w:val="18"/>
              </w:rPr>
              <w:t>a</w:t>
            </w:r>
            <w:r w:rsidRPr="00985B19">
              <w:rPr>
                <w:sz w:val="18"/>
                <w:szCs w:val="18"/>
              </w:rPr>
              <w:t xml:space="preserve">llowances </w:t>
            </w:r>
            <w:r>
              <w:rPr>
                <w:sz w:val="18"/>
                <w:szCs w:val="18"/>
              </w:rPr>
              <w:t>d</w:t>
            </w:r>
            <w:r w:rsidRPr="00985B19">
              <w:rPr>
                <w:sz w:val="18"/>
                <w:szCs w:val="18"/>
              </w:rPr>
              <w:t>erivatives</w:t>
            </w:r>
          </w:p>
        </w:tc>
      </w:tr>
      <w:tr w:rsidR="00D42916" w:rsidRPr="002300EB" w14:paraId="3B7A4EA1" w14:textId="77777777" w:rsidTr="00A76F86">
        <w:tc>
          <w:tcPr>
            <w:tcW w:w="14580" w:type="dxa"/>
            <w:gridSpan w:val="2"/>
            <w:tcBorders>
              <w:top w:val="single" w:sz="12" w:space="0" w:color="auto"/>
              <w:left w:val="single" w:sz="12" w:space="0" w:color="auto"/>
              <w:right w:val="single" w:sz="12" w:space="0" w:color="auto"/>
            </w:tcBorders>
            <w:shd w:val="clear" w:color="auto" w:fill="D9D9D9" w:themeFill="background1" w:themeFillShade="D9"/>
          </w:tcPr>
          <w:p w14:paraId="71B4ADBE" w14:textId="77777777" w:rsidR="00D42916" w:rsidRPr="00985B19" w:rsidRDefault="00D42916" w:rsidP="00785F60">
            <w:pPr>
              <w:jc w:val="center"/>
              <w:rPr>
                <w:sz w:val="18"/>
                <w:szCs w:val="18"/>
              </w:rPr>
            </w:pPr>
            <w:r w:rsidRPr="00985B19">
              <w:rPr>
                <w:sz w:val="18"/>
                <w:szCs w:val="18"/>
              </w:rPr>
              <w:t>Summary of Analysis</w:t>
            </w:r>
          </w:p>
        </w:tc>
      </w:tr>
      <w:tr w:rsidR="00D42916" w:rsidRPr="002300EB" w14:paraId="25A8F389" w14:textId="77777777" w:rsidTr="00A76F86">
        <w:tc>
          <w:tcPr>
            <w:tcW w:w="14580" w:type="dxa"/>
            <w:gridSpan w:val="2"/>
            <w:tcBorders>
              <w:left w:val="single" w:sz="12" w:space="0" w:color="auto"/>
              <w:right w:val="single" w:sz="12" w:space="0" w:color="auto"/>
            </w:tcBorders>
          </w:tcPr>
          <w:p w14:paraId="5E275306" w14:textId="77777777" w:rsidR="00D42916" w:rsidRPr="00985B19" w:rsidRDefault="00D42916" w:rsidP="00785F60">
            <w:pPr>
              <w:spacing w:after="120"/>
              <w:jc w:val="both"/>
              <w:rPr>
                <w:sz w:val="18"/>
                <w:szCs w:val="18"/>
              </w:rPr>
            </w:pPr>
            <w:r w:rsidRPr="00985B19">
              <w:rPr>
                <w:sz w:val="18"/>
                <w:szCs w:val="18"/>
              </w:rPr>
              <w:t xml:space="preserve">In respect of eCommerce Orders, J.P. Morgan </w:t>
            </w:r>
            <w:r>
              <w:rPr>
                <w:sz w:val="18"/>
                <w:szCs w:val="18"/>
              </w:rPr>
              <w:t>SE</w:t>
            </w:r>
            <w:r w:rsidRPr="00985B19" w:rsidDel="00440F47">
              <w:rPr>
                <w:sz w:val="18"/>
                <w:szCs w:val="18"/>
              </w:rPr>
              <w:t xml:space="preserve"> </w:t>
            </w:r>
            <w:r w:rsidRPr="00985B19">
              <w:rPr>
                <w:sz w:val="18"/>
                <w:szCs w:val="18"/>
              </w:rPr>
              <w:t xml:space="preserve">collated quoted bid/offer spreads over a rolling time frame and analysed these in comparison to completed leave transactions to identify outliers. The results of the Best Execution monitoring were reviewed by J.P. Morgan management and control functions and were in line with J.P. Morgan </w:t>
            </w:r>
            <w:r>
              <w:rPr>
                <w:sz w:val="18"/>
                <w:szCs w:val="18"/>
              </w:rPr>
              <w:t>SE</w:t>
            </w:r>
            <w:r w:rsidRPr="00985B19">
              <w:rPr>
                <w:sz w:val="18"/>
                <w:szCs w:val="18"/>
              </w:rPr>
              <w:t xml:space="preserve"> expectations. Clients direct their orders to J.P. Morgan </w:t>
            </w:r>
            <w:r>
              <w:rPr>
                <w:sz w:val="18"/>
                <w:szCs w:val="18"/>
              </w:rPr>
              <w:t>SE</w:t>
            </w:r>
            <w:r w:rsidRPr="00985B19" w:rsidDel="00440F47">
              <w:rPr>
                <w:sz w:val="18"/>
                <w:szCs w:val="18"/>
              </w:rPr>
              <w:t xml:space="preserve"> </w:t>
            </w:r>
            <w:r w:rsidRPr="00985B19">
              <w:rPr>
                <w:sz w:val="18"/>
                <w:szCs w:val="18"/>
              </w:rPr>
              <w:t xml:space="preserve">to execute as principal and we therefore treat all orders as directed as we are the sole execution venue. </w:t>
            </w:r>
          </w:p>
        </w:tc>
      </w:tr>
      <w:tr w:rsidR="00D42916" w:rsidRPr="002300EB" w14:paraId="52DCF88F" w14:textId="77777777" w:rsidTr="00A76F86">
        <w:tc>
          <w:tcPr>
            <w:tcW w:w="5253" w:type="dxa"/>
            <w:tcBorders>
              <w:left w:val="single" w:sz="12" w:space="0" w:color="auto"/>
            </w:tcBorders>
            <w:shd w:val="clear" w:color="auto" w:fill="D9D9D9" w:themeFill="background1" w:themeFillShade="D9"/>
          </w:tcPr>
          <w:p w14:paraId="5D9386E4" w14:textId="77777777" w:rsidR="00D42916" w:rsidRPr="00985B19" w:rsidRDefault="00D42916" w:rsidP="00785F60">
            <w:pPr>
              <w:rPr>
                <w:sz w:val="18"/>
                <w:szCs w:val="18"/>
              </w:rPr>
            </w:pPr>
            <w:r w:rsidRPr="00985B19">
              <w:rPr>
                <w:sz w:val="18"/>
                <w:szCs w:val="18"/>
              </w:rPr>
              <w:t>Relative importance given to execution factors &amp; other considerations</w:t>
            </w:r>
          </w:p>
        </w:tc>
        <w:tc>
          <w:tcPr>
            <w:tcW w:w="9327" w:type="dxa"/>
            <w:tcBorders>
              <w:right w:val="single" w:sz="12" w:space="0" w:color="auto"/>
            </w:tcBorders>
          </w:tcPr>
          <w:p w14:paraId="7FAAB489" w14:textId="77777777" w:rsidR="00D42916" w:rsidRPr="00985B19" w:rsidRDefault="00D42916" w:rsidP="00785F60">
            <w:pPr>
              <w:spacing w:after="120"/>
              <w:jc w:val="both"/>
              <w:rPr>
                <w:i/>
                <w:sz w:val="18"/>
                <w:szCs w:val="18"/>
              </w:rPr>
            </w:pPr>
            <w:r w:rsidRPr="00985B19">
              <w:rPr>
                <w:sz w:val="18"/>
                <w:szCs w:val="18"/>
              </w:rPr>
              <w:t xml:space="preserve">As per </w:t>
            </w:r>
            <w:hyperlink r:id="rId32" w:history="1">
              <w:r w:rsidRPr="00685413">
                <w:rPr>
                  <w:rStyle w:val="Hyperlink"/>
                  <w:sz w:val="18"/>
                  <w:szCs w:val="18"/>
                </w:rPr>
                <w:t>Appendix 5</w:t>
              </w:r>
            </w:hyperlink>
            <w:r w:rsidRPr="00985B19">
              <w:rPr>
                <w:sz w:val="18"/>
                <w:szCs w:val="18"/>
              </w:rPr>
              <w:t xml:space="preserve"> of the </w:t>
            </w:r>
            <w:hyperlink r:id="rId33" w:history="1">
              <w:r w:rsidRPr="00685413">
                <w:rPr>
                  <w:rStyle w:val="Hyperlink"/>
                  <w:sz w:val="18"/>
                  <w:szCs w:val="18"/>
                </w:rPr>
                <w:t>J.P. Morgan Execution Policy</w:t>
              </w:r>
            </w:hyperlink>
            <w:r w:rsidRPr="00985B19">
              <w:rPr>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commodity instrument is illiquid, or if the limit price provided is not marketable. </w:t>
            </w:r>
          </w:p>
        </w:tc>
      </w:tr>
      <w:tr w:rsidR="00D42916" w:rsidRPr="002300EB" w14:paraId="4F6E6B6C" w14:textId="77777777" w:rsidTr="00A76F86">
        <w:tc>
          <w:tcPr>
            <w:tcW w:w="5253" w:type="dxa"/>
            <w:tcBorders>
              <w:left w:val="single" w:sz="12" w:space="0" w:color="auto"/>
            </w:tcBorders>
            <w:shd w:val="clear" w:color="auto" w:fill="D9D9D9" w:themeFill="background1" w:themeFillShade="D9"/>
          </w:tcPr>
          <w:p w14:paraId="02386B7B" w14:textId="77777777" w:rsidR="00D42916" w:rsidRPr="00985B19" w:rsidRDefault="00D42916" w:rsidP="00785F60">
            <w:pPr>
              <w:rPr>
                <w:sz w:val="18"/>
                <w:szCs w:val="18"/>
              </w:rPr>
            </w:pPr>
            <w:r w:rsidRPr="00985B19">
              <w:rPr>
                <w:sz w:val="18"/>
                <w:szCs w:val="18"/>
              </w:rPr>
              <w:t>Execution venue close links / conflicts of interest / common ownerships</w:t>
            </w:r>
          </w:p>
        </w:tc>
        <w:tc>
          <w:tcPr>
            <w:tcW w:w="9327" w:type="dxa"/>
            <w:tcBorders>
              <w:right w:val="single" w:sz="12" w:space="0" w:color="auto"/>
            </w:tcBorders>
          </w:tcPr>
          <w:p w14:paraId="498005E1" w14:textId="77777777" w:rsidR="00D42916" w:rsidRPr="00985B19" w:rsidRDefault="00D42916" w:rsidP="00785F60">
            <w:pPr>
              <w:rPr>
                <w:sz w:val="18"/>
                <w:szCs w:val="18"/>
              </w:rPr>
            </w:pPr>
            <w:r w:rsidRPr="00985B19">
              <w:rPr>
                <w:sz w:val="18"/>
                <w:szCs w:val="18"/>
              </w:rPr>
              <w:t xml:space="preserve">J.P. Morgan </w:t>
            </w:r>
            <w:r>
              <w:rPr>
                <w:sz w:val="18"/>
                <w:szCs w:val="18"/>
              </w:rPr>
              <w:t>SE</w:t>
            </w:r>
            <w:r w:rsidRPr="00985B19">
              <w:rPr>
                <w:sz w:val="18"/>
                <w:szCs w:val="18"/>
              </w:rPr>
              <w:t xml:space="preserve"> is a fully owned subsidiary of </w:t>
            </w:r>
            <w:r w:rsidRPr="00985B19">
              <w:rPr>
                <w:color w:val="000000" w:themeColor="text1"/>
                <w:sz w:val="18"/>
                <w:szCs w:val="18"/>
              </w:rPr>
              <w:t>JPMorgan Chase &amp; Co.</w:t>
            </w:r>
          </w:p>
        </w:tc>
      </w:tr>
      <w:tr w:rsidR="00D42916" w:rsidRPr="002300EB" w14:paraId="13F2BCDB" w14:textId="77777777" w:rsidTr="00A76F86">
        <w:trPr>
          <w:trHeight w:val="269"/>
        </w:trPr>
        <w:tc>
          <w:tcPr>
            <w:tcW w:w="5253" w:type="dxa"/>
            <w:tcBorders>
              <w:left w:val="single" w:sz="12" w:space="0" w:color="auto"/>
            </w:tcBorders>
            <w:shd w:val="clear" w:color="auto" w:fill="D9D9D9" w:themeFill="background1" w:themeFillShade="D9"/>
          </w:tcPr>
          <w:p w14:paraId="5A1BE12E" w14:textId="77777777" w:rsidR="00D42916" w:rsidRPr="00985B19" w:rsidRDefault="00D42916" w:rsidP="00785F60">
            <w:pPr>
              <w:rPr>
                <w:sz w:val="18"/>
                <w:szCs w:val="18"/>
              </w:rPr>
            </w:pPr>
            <w:r w:rsidRPr="00985B19">
              <w:rPr>
                <w:sz w:val="18"/>
                <w:szCs w:val="18"/>
              </w:rPr>
              <w:t>Specific execution venue arrangements</w:t>
            </w:r>
          </w:p>
        </w:tc>
        <w:tc>
          <w:tcPr>
            <w:tcW w:w="9327" w:type="dxa"/>
            <w:tcBorders>
              <w:right w:val="single" w:sz="12" w:space="0" w:color="auto"/>
            </w:tcBorders>
          </w:tcPr>
          <w:p w14:paraId="7A9A7E78" w14:textId="77777777" w:rsidR="00D42916" w:rsidRPr="00985B19" w:rsidRDefault="00D42916" w:rsidP="00785F60">
            <w:pPr>
              <w:rPr>
                <w:sz w:val="18"/>
                <w:szCs w:val="18"/>
              </w:rPr>
            </w:pPr>
            <w:r w:rsidRPr="00985B19">
              <w:rPr>
                <w:sz w:val="18"/>
                <w:szCs w:val="18"/>
              </w:rPr>
              <w:t xml:space="preserve">J.P. Morgan </w:t>
            </w:r>
            <w:r>
              <w:rPr>
                <w:sz w:val="18"/>
                <w:szCs w:val="18"/>
              </w:rPr>
              <w:t>SE</w:t>
            </w:r>
            <w:r w:rsidRPr="00985B19">
              <w:rPr>
                <w:sz w:val="18"/>
                <w:szCs w:val="18"/>
              </w:rPr>
              <w:t xml:space="preserve"> is the sole execution venue. </w:t>
            </w:r>
          </w:p>
        </w:tc>
      </w:tr>
      <w:tr w:rsidR="00D42916" w:rsidRPr="002300EB" w14:paraId="41102118" w14:textId="77777777" w:rsidTr="00A76F86">
        <w:trPr>
          <w:trHeight w:val="368"/>
        </w:trPr>
        <w:tc>
          <w:tcPr>
            <w:tcW w:w="5253" w:type="dxa"/>
            <w:tcBorders>
              <w:left w:val="single" w:sz="12" w:space="0" w:color="auto"/>
            </w:tcBorders>
            <w:shd w:val="clear" w:color="auto" w:fill="D9D9D9" w:themeFill="background1" w:themeFillShade="D9"/>
          </w:tcPr>
          <w:p w14:paraId="6243C964" w14:textId="77777777" w:rsidR="00D42916" w:rsidRPr="00985B19" w:rsidRDefault="00D42916" w:rsidP="00785F60">
            <w:pPr>
              <w:rPr>
                <w:sz w:val="18"/>
                <w:szCs w:val="18"/>
              </w:rPr>
            </w:pPr>
            <w:r w:rsidRPr="00985B19">
              <w:rPr>
                <w:sz w:val="18"/>
                <w:szCs w:val="18"/>
              </w:rPr>
              <w:t>Changes to execution venues</w:t>
            </w:r>
          </w:p>
        </w:tc>
        <w:tc>
          <w:tcPr>
            <w:tcW w:w="9327" w:type="dxa"/>
            <w:tcBorders>
              <w:right w:val="single" w:sz="12" w:space="0" w:color="auto"/>
            </w:tcBorders>
          </w:tcPr>
          <w:p w14:paraId="5D91E522" w14:textId="77777777" w:rsidR="00D42916" w:rsidRPr="00985B19" w:rsidRDefault="00D42916" w:rsidP="00785F60">
            <w:pPr>
              <w:spacing w:after="120"/>
              <w:rPr>
                <w:sz w:val="18"/>
                <w:szCs w:val="18"/>
              </w:rPr>
            </w:pPr>
            <w:r w:rsidRPr="00985B19">
              <w:rPr>
                <w:sz w:val="18"/>
                <w:szCs w:val="18"/>
              </w:rPr>
              <w:t>Not Applicable</w:t>
            </w:r>
          </w:p>
        </w:tc>
      </w:tr>
      <w:tr w:rsidR="006C4994" w:rsidRPr="002300EB" w14:paraId="012E43B6" w14:textId="77777777" w:rsidTr="00A76F86">
        <w:tc>
          <w:tcPr>
            <w:tcW w:w="5253" w:type="dxa"/>
            <w:tcBorders>
              <w:left w:val="single" w:sz="12" w:space="0" w:color="auto"/>
            </w:tcBorders>
            <w:shd w:val="clear" w:color="auto" w:fill="D9D9D9" w:themeFill="background1" w:themeFillShade="D9"/>
          </w:tcPr>
          <w:p w14:paraId="22D26419" w14:textId="77777777" w:rsidR="006C4994" w:rsidRPr="00985B19" w:rsidRDefault="006C4994" w:rsidP="006C4994">
            <w:pPr>
              <w:rPr>
                <w:sz w:val="18"/>
                <w:szCs w:val="18"/>
              </w:rPr>
            </w:pPr>
            <w:r w:rsidRPr="00AA2F92">
              <w:rPr>
                <w:sz w:val="18"/>
                <w:szCs w:val="18"/>
              </w:rPr>
              <w:t>Client distinctions</w:t>
            </w:r>
          </w:p>
        </w:tc>
        <w:tc>
          <w:tcPr>
            <w:tcW w:w="9327" w:type="dxa"/>
            <w:tcBorders>
              <w:right w:val="single" w:sz="12" w:space="0" w:color="auto"/>
            </w:tcBorders>
          </w:tcPr>
          <w:p w14:paraId="6A200F67" w14:textId="77777777" w:rsidR="006C4994" w:rsidRDefault="006C4994" w:rsidP="006C4994">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6AFBCCD0" w14:textId="77777777" w:rsidR="006C4994" w:rsidRDefault="006C4994" w:rsidP="006C4994">
            <w:pPr>
              <w:spacing w:after="120"/>
              <w:rPr>
                <w:sz w:val="18"/>
                <w:szCs w:val="18"/>
              </w:rPr>
            </w:pPr>
            <w:r>
              <w:rPr>
                <w:sz w:val="18"/>
                <w:szCs w:val="18"/>
              </w:rPr>
              <w:t xml:space="preserve">JPMSE CIB only deals with Professional Clients. </w:t>
            </w:r>
          </w:p>
          <w:p w14:paraId="58ED4511" w14:textId="77777777" w:rsidR="006C4994" w:rsidRDefault="006C4994" w:rsidP="006C4994">
            <w:pPr>
              <w:rPr>
                <w:sz w:val="18"/>
                <w:szCs w:val="18"/>
              </w:rPr>
            </w:pPr>
            <w:r>
              <w:rPr>
                <w:sz w:val="18"/>
                <w:szCs w:val="18"/>
              </w:rPr>
              <w:t xml:space="preserve">However, JPMSE PB deals with both Professional and Retail Clients and its Best Execution disclosures can be found </w:t>
            </w:r>
            <w:hyperlink r:id="rId34" w:history="1">
              <w:r>
                <w:rPr>
                  <w:rStyle w:val="Hyperlink"/>
                  <w:sz w:val="18"/>
                  <w:szCs w:val="18"/>
                </w:rPr>
                <w:t>here</w:t>
              </w:r>
            </w:hyperlink>
            <w:r>
              <w:rPr>
                <w:sz w:val="18"/>
                <w:szCs w:val="18"/>
              </w:rPr>
              <w:t>.</w:t>
            </w:r>
          </w:p>
          <w:p w14:paraId="644333FC" w14:textId="2C642514" w:rsidR="006C4994" w:rsidRPr="00D62AFD" w:rsidRDefault="006C4994" w:rsidP="006C4994">
            <w:pPr>
              <w:autoSpaceDE w:val="0"/>
              <w:autoSpaceDN w:val="0"/>
            </w:pPr>
          </w:p>
        </w:tc>
      </w:tr>
      <w:tr w:rsidR="006C4994" w:rsidRPr="002300EB" w14:paraId="6CB549C0" w14:textId="77777777" w:rsidTr="00A76F86">
        <w:tc>
          <w:tcPr>
            <w:tcW w:w="5253" w:type="dxa"/>
            <w:tcBorders>
              <w:left w:val="single" w:sz="12" w:space="0" w:color="auto"/>
            </w:tcBorders>
            <w:shd w:val="clear" w:color="auto" w:fill="D9D9D9" w:themeFill="background1" w:themeFillShade="D9"/>
          </w:tcPr>
          <w:p w14:paraId="66E84594" w14:textId="77777777" w:rsidR="006C4994" w:rsidRPr="00985B19" w:rsidRDefault="006C4994" w:rsidP="006C4994">
            <w:pPr>
              <w:rPr>
                <w:sz w:val="18"/>
                <w:szCs w:val="18"/>
              </w:rPr>
            </w:pPr>
            <w:r>
              <w:rPr>
                <w:rFonts w:ascii="Calibri" w:eastAsia="Calibri" w:hAnsi="Calibri" w:cs="Times New Roman"/>
                <w:sz w:val="18"/>
                <w:szCs w:val="18"/>
              </w:rPr>
              <w:t>Retail Client Orders</w:t>
            </w:r>
          </w:p>
        </w:tc>
        <w:tc>
          <w:tcPr>
            <w:tcW w:w="9327" w:type="dxa"/>
            <w:tcBorders>
              <w:right w:val="single" w:sz="12" w:space="0" w:color="auto"/>
            </w:tcBorders>
          </w:tcPr>
          <w:p w14:paraId="77C21BE6" w14:textId="77777777" w:rsidR="006C4994" w:rsidRPr="00985B19" w:rsidRDefault="006C4994" w:rsidP="006C4994">
            <w:pPr>
              <w:spacing w:after="120"/>
              <w:rPr>
                <w:sz w:val="18"/>
                <w:szCs w:val="18"/>
              </w:rPr>
            </w:pPr>
            <w:r>
              <w:rPr>
                <w:sz w:val="18"/>
                <w:szCs w:val="18"/>
              </w:rPr>
              <w:t>See above</w:t>
            </w:r>
          </w:p>
        </w:tc>
      </w:tr>
      <w:tr w:rsidR="006C4994" w:rsidRPr="002300EB" w14:paraId="711AFF43" w14:textId="77777777" w:rsidTr="00A76F86">
        <w:trPr>
          <w:trHeight w:val="70"/>
        </w:trPr>
        <w:tc>
          <w:tcPr>
            <w:tcW w:w="5253" w:type="dxa"/>
            <w:tcBorders>
              <w:left w:val="single" w:sz="12" w:space="0" w:color="auto"/>
            </w:tcBorders>
            <w:shd w:val="clear" w:color="auto" w:fill="D9D9D9" w:themeFill="background1" w:themeFillShade="D9"/>
          </w:tcPr>
          <w:p w14:paraId="01DB4D0E" w14:textId="77777777" w:rsidR="006C4994" w:rsidRPr="00985B19" w:rsidRDefault="006C4994" w:rsidP="006C4994">
            <w:pPr>
              <w:rPr>
                <w:sz w:val="18"/>
                <w:szCs w:val="18"/>
              </w:rPr>
            </w:pPr>
            <w:r w:rsidRPr="00985B19">
              <w:rPr>
                <w:sz w:val="18"/>
                <w:szCs w:val="18"/>
              </w:rPr>
              <w:t>Use of data/tools relating to the quality of execution</w:t>
            </w:r>
          </w:p>
        </w:tc>
        <w:tc>
          <w:tcPr>
            <w:tcW w:w="9327" w:type="dxa"/>
            <w:tcBorders>
              <w:right w:val="single" w:sz="12" w:space="0" w:color="auto"/>
            </w:tcBorders>
          </w:tcPr>
          <w:p w14:paraId="5527C0C4" w14:textId="77777777" w:rsidR="006C4994" w:rsidRPr="00985B19" w:rsidRDefault="006C4994" w:rsidP="006C4994">
            <w:pPr>
              <w:spacing w:after="120"/>
              <w:rPr>
                <w:sz w:val="18"/>
                <w:szCs w:val="18"/>
              </w:rPr>
            </w:pPr>
            <w:r w:rsidRPr="00985B19">
              <w:rPr>
                <w:sz w:val="18"/>
                <w:szCs w:val="18"/>
              </w:rPr>
              <w:t xml:space="preserve">As per </w:t>
            </w:r>
            <w:hyperlink r:id="rId35" w:history="1">
              <w:r w:rsidRPr="00685413">
                <w:rPr>
                  <w:rStyle w:val="Hyperlink"/>
                  <w:sz w:val="18"/>
                  <w:szCs w:val="18"/>
                </w:rPr>
                <w:t>Appendix 5</w:t>
              </w:r>
            </w:hyperlink>
            <w:r w:rsidRPr="00985B19">
              <w:rPr>
                <w:sz w:val="18"/>
                <w:szCs w:val="18"/>
              </w:rPr>
              <w:t xml:space="preserve"> of the </w:t>
            </w:r>
            <w:hyperlink r:id="rId36" w:history="1">
              <w:r w:rsidRPr="00685413">
                <w:rPr>
                  <w:rStyle w:val="Hyperlink"/>
                  <w:sz w:val="18"/>
                  <w:szCs w:val="18"/>
                </w:rPr>
                <w:t>J.P. Morgan Execution Policy</w:t>
              </w:r>
              <w:r w:rsidRPr="00985B19">
                <w:rPr>
                  <w:rStyle w:val="Hyperlink"/>
                  <w:sz w:val="18"/>
                  <w:szCs w:val="18"/>
                </w:rPr>
                <w:t>,</w:t>
              </w:r>
            </w:hyperlink>
            <w:r w:rsidRPr="00985B19">
              <w:rPr>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6C4994" w:rsidRPr="002300EB" w14:paraId="3684AE14" w14:textId="77777777" w:rsidTr="00A76F86">
        <w:trPr>
          <w:trHeight w:val="512"/>
        </w:trPr>
        <w:tc>
          <w:tcPr>
            <w:tcW w:w="5253" w:type="dxa"/>
            <w:tcBorders>
              <w:left w:val="single" w:sz="12" w:space="0" w:color="auto"/>
              <w:bottom w:val="single" w:sz="12" w:space="0" w:color="auto"/>
            </w:tcBorders>
            <w:shd w:val="clear" w:color="auto" w:fill="D9D9D9" w:themeFill="background1" w:themeFillShade="D9"/>
          </w:tcPr>
          <w:p w14:paraId="33BF98F0" w14:textId="77777777" w:rsidR="006C4994" w:rsidRPr="00985B19" w:rsidRDefault="006C4994" w:rsidP="006C4994">
            <w:pPr>
              <w:rPr>
                <w:sz w:val="18"/>
                <w:szCs w:val="18"/>
              </w:rPr>
            </w:pPr>
            <w:r w:rsidRPr="00985B19">
              <w:rPr>
                <w:sz w:val="18"/>
                <w:szCs w:val="18"/>
              </w:rPr>
              <w:t>Use of consolidated tape provider output or other algorithms to assess execution performances</w:t>
            </w:r>
          </w:p>
        </w:tc>
        <w:tc>
          <w:tcPr>
            <w:tcW w:w="9327" w:type="dxa"/>
            <w:tcBorders>
              <w:bottom w:val="single" w:sz="12" w:space="0" w:color="auto"/>
              <w:right w:val="single" w:sz="12" w:space="0" w:color="auto"/>
            </w:tcBorders>
          </w:tcPr>
          <w:p w14:paraId="585B02BB" w14:textId="77777777" w:rsidR="006C4994" w:rsidRPr="00985B19" w:rsidRDefault="006C4994" w:rsidP="006C4994">
            <w:pPr>
              <w:spacing w:after="120"/>
              <w:rPr>
                <w:sz w:val="18"/>
                <w:szCs w:val="18"/>
              </w:rPr>
            </w:pPr>
            <w:r w:rsidRPr="00985B19">
              <w:rPr>
                <w:sz w:val="18"/>
                <w:szCs w:val="18"/>
              </w:rPr>
              <w:t>Not Applicable</w:t>
            </w:r>
          </w:p>
        </w:tc>
      </w:tr>
    </w:tbl>
    <w:p w14:paraId="7DF1CB3B" w14:textId="7D6C4D57" w:rsidR="00C03B10" w:rsidRDefault="00C03B10"/>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3B10" w:rsidRPr="00625958" w14:paraId="0F0C9AFF" w14:textId="77777777" w:rsidTr="00C03B10">
        <w:tc>
          <w:tcPr>
            <w:tcW w:w="4410" w:type="dxa"/>
            <w:tcBorders>
              <w:top w:val="single" w:sz="12" w:space="0" w:color="auto"/>
              <w:left w:val="single" w:sz="12" w:space="0" w:color="auto"/>
              <w:bottom w:val="single" w:sz="4" w:space="0" w:color="auto"/>
              <w:right w:val="single" w:sz="4" w:space="0" w:color="auto"/>
            </w:tcBorders>
            <w:shd w:val="clear" w:color="auto" w:fill="auto"/>
          </w:tcPr>
          <w:p w14:paraId="13C5748B" w14:textId="0D81FAA6" w:rsidR="00C03B10" w:rsidRDefault="00C03B10" w:rsidP="00C03B10">
            <w:pPr>
              <w:rPr>
                <w:b/>
                <w:bCs/>
                <w:sz w:val="20"/>
                <w:szCs w:val="20"/>
                <w:u w:val="single"/>
              </w:rPr>
            </w:pPr>
            <w:r w:rsidRPr="00581B92">
              <w:rPr>
                <w:b/>
                <w:bCs/>
                <w:sz w:val="20"/>
                <w:szCs w:val="20"/>
                <w:u w:val="single"/>
              </w:rPr>
              <w:lastRenderedPageBreak/>
              <w:t>Securities Financing Transactions</w:t>
            </w:r>
          </w:p>
          <w:p w14:paraId="4E7974B1" w14:textId="77777777" w:rsidR="00D514ED" w:rsidRDefault="00D514ED" w:rsidP="00C03B10">
            <w:pPr>
              <w:rPr>
                <w:b/>
                <w:bCs/>
                <w:sz w:val="20"/>
                <w:szCs w:val="20"/>
                <w:u w:val="single"/>
              </w:rPr>
            </w:pPr>
          </w:p>
          <w:p w14:paraId="1346B73D" w14:textId="77777777" w:rsidR="00C03B10" w:rsidRPr="00625958" w:rsidRDefault="00C03B10" w:rsidP="00C03B10">
            <w:pPr>
              <w:rPr>
                <w:sz w:val="18"/>
                <w:szCs w:val="18"/>
              </w:rPr>
            </w:pPr>
          </w:p>
        </w:tc>
        <w:tc>
          <w:tcPr>
            <w:tcW w:w="9990" w:type="dxa"/>
            <w:tcBorders>
              <w:top w:val="single" w:sz="12" w:space="0" w:color="auto"/>
              <w:left w:val="single" w:sz="4" w:space="0" w:color="auto"/>
              <w:bottom w:val="single" w:sz="4" w:space="0" w:color="auto"/>
              <w:right w:val="single" w:sz="12" w:space="0" w:color="auto"/>
            </w:tcBorders>
          </w:tcPr>
          <w:p w14:paraId="1AF04826" w14:textId="77777777" w:rsidR="00C03B10" w:rsidRPr="00625958" w:rsidRDefault="00C03B10" w:rsidP="00C03B10">
            <w:pPr>
              <w:rPr>
                <w:sz w:val="18"/>
                <w:szCs w:val="18"/>
              </w:rPr>
            </w:pPr>
          </w:p>
        </w:tc>
      </w:tr>
      <w:tr w:rsidR="00C03B10" w:rsidRPr="00625958" w14:paraId="54416DDE" w14:textId="77777777" w:rsidTr="00785F60">
        <w:tc>
          <w:tcPr>
            <w:tcW w:w="4410" w:type="dxa"/>
            <w:tcBorders>
              <w:top w:val="single" w:sz="12" w:space="0" w:color="auto"/>
              <w:left w:val="single" w:sz="12" w:space="0" w:color="auto"/>
              <w:bottom w:val="single" w:sz="4" w:space="0" w:color="auto"/>
              <w:right w:val="single" w:sz="4" w:space="0" w:color="auto"/>
            </w:tcBorders>
            <w:shd w:val="clear" w:color="auto" w:fill="D9D9D9" w:themeFill="background1" w:themeFillShade="D9"/>
          </w:tcPr>
          <w:p w14:paraId="400E809B" w14:textId="77777777" w:rsidR="00C03B10" w:rsidRPr="00625958" w:rsidRDefault="00C03B10" w:rsidP="00C03B10">
            <w:pPr>
              <w:rPr>
                <w:sz w:val="18"/>
                <w:szCs w:val="18"/>
              </w:rPr>
            </w:pPr>
            <w:r w:rsidRPr="00625958">
              <w:rPr>
                <w:sz w:val="18"/>
                <w:szCs w:val="18"/>
              </w:rPr>
              <w:t>Legal Entity</w:t>
            </w:r>
          </w:p>
        </w:tc>
        <w:tc>
          <w:tcPr>
            <w:tcW w:w="9990" w:type="dxa"/>
            <w:tcBorders>
              <w:top w:val="single" w:sz="12" w:space="0" w:color="auto"/>
              <w:left w:val="single" w:sz="4" w:space="0" w:color="auto"/>
              <w:bottom w:val="single" w:sz="4" w:space="0" w:color="auto"/>
              <w:right w:val="single" w:sz="12" w:space="0" w:color="auto"/>
            </w:tcBorders>
          </w:tcPr>
          <w:p w14:paraId="0768A2FD" w14:textId="77777777" w:rsidR="00C03B10" w:rsidRPr="00625958" w:rsidRDefault="00C03B10" w:rsidP="00C03B10">
            <w:pPr>
              <w:rPr>
                <w:sz w:val="18"/>
                <w:szCs w:val="18"/>
              </w:rPr>
            </w:pPr>
            <w:r w:rsidRPr="00625958">
              <w:rPr>
                <w:sz w:val="18"/>
                <w:szCs w:val="18"/>
              </w:rPr>
              <w:t xml:space="preserve">J.P. Morgan </w:t>
            </w:r>
            <w:r>
              <w:rPr>
                <w:sz w:val="18"/>
                <w:szCs w:val="18"/>
              </w:rPr>
              <w:t>SE</w:t>
            </w:r>
            <w:r w:rsidRPr="00625958">
              <w:rPr>
                <w:sz w:val="18"/>
                <w:szCs w:val="18"/>
              </w:rPr>
              <w:t xml:space="preserve"> (</w:t>
            </w:r>
            <w:r w:rsidRPr="00307EFC">
              <w:rPr>
                <w:sz w:val="18"/>
                <w:szCs w:val="18"/>
              </w:rPr>
              <w:t>549300ZK53CNGEEI6A</w:t>
            </w:r>
            <w:proofErr w:type="gramStart"/>
            <w:r w:rsidRPr="00307EFC">
              <w:rPr>
                <w:sz w:val="18"/>
                <w:szCs w:val="18"/>
              </w:rPr>
              <w:t>29</w:t>
            </w:r>
            <w:r w:rsidRPr="00625958">
              <w:rPr>
                <w:sz w:val="18"/>
                <w:szCs w:val="18"/>
              </w:rPr>
              <w:t>)</w:t>
            </w:r>
            <w:r>
              <w:rPr>
                <w:sz w:val="18"/>
                <w:szCs w:val="18"/>
              </w:rPr>
              <w:t>*</w:t>
            </w:r>
            <w:proofErr w:type="gramEnd"/>
          </w:p>
        </w:tc>
      </w:tr>
      <w:tr w:rsidR="00C03B10" w:rsidRPr="00625958" w14:paraId="08771EF0" w14:textId="77777777" w:rsidTr="00785F60">
        <w:tc>
          <w:tcPr>
            <w:tcW w:w="44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14:paraId="6D20D30F" w14:textId="77777777" w:rsidR="00C03B10" w:rsidRPr="00625958" w:rsidRDefault="00C03B10" w:rsidP="00C03B10">
            <w:pPr>
              <w:rPr>
                <w:sz w:val="18"/>
                <w:szCs w:val="18"/>
              </w:rPr>
            </w:pPr>
            <w:r w:rsidRPr="00625958">
              <w:rPr>
                <w:sz w:val="18"/>
                <w:szCs w:val="18"/>
              </w:rPr>
              <w:t>Class of Instrument</w:t>
            </w:r>
          </w:p>
        </w:tc>
        <w:tc>
          <w:tcPr>
            <w:tcW w:w="9990" w:type="dxa"/>
            <w:tcBorders>
              <w:top w:val="single" w:sz="4" w:space="0" w:color="auto"/>
              <w:left w:val="single" w:sz="4" w:space="0" w:color="auto"/>
              <w:bottom w:val="single" w:sz="4" w:space="0" w:color="auto"/>
              <w:right w:val="single" w:sz="12" w:space="0" w:color="auto"/>
            </w:tcBorders>
          </w:tcPr>
          <w:p w14:paraId="1F4DD87E" w14:textId="77777777" w:rsidR="00C03B10" w:rsidRPr="00625958" w:rsidRDefault="00C03B10" w:rsidP="00C03B10">
            <w:pPr>
              <w:rPr>
                <w:sz w:val="18"/>
                <w:szCs w:val="18"/>
              </w:rPr>
            </w:pPr>
            <w:r w:rsidRPr="00625958">
              <w:rPr>
                <w:sz w:val="18"/>
                <w:szCs w:val="18"/>
              </w:rPr>
              <w:t xml:space="preserve">Debt </w:t>
            </w:r>
            <w:r>
              <w:rPr>
                <w:sz w:val="18"/>
                <w:szCs w:val="18"/>
              </w:rPr>
              <w:t>i</w:t>
            </w:r>
            <w:r w:rsidRPr="00625958">
              <w:rPr>
                <w:sz w:val="18"/>
                <w:szCs w:val="18"/>
              </w:rPr>
              <w:t>nstruments: Bonds</w:t>
            </w:r>
          </w:p>
        </w:tc>
      </w:tr>
      <w:tr w:rsidR="00C03B10" w:rsidRPr="00625958" w14:paraId="2BBFD252" w14:textId="77777777" w:rsidTr="00785F60">
        <w:tc>
          <w:tcPr>
            <w:tcW w:w="14400" w:type="dxa"/>
            <w:gridSpan w:val="2"/>
            <w:tcBorders>
              <w:top w:val="single" w:sz="4" w:space="0" w:color="auto"/>
              <w:left w:val="single" w:sz="12" w:space="0" w:color="auto"/>
              <w:right w:val="single" w:sz="12" w:space="0" w:color="auto"/>
            </w:tcBorders>
            <w:shd w:val="clear" w:color="auto" w:fill="D9D9D9" w:themeFill="background1" w:themeFillShade="D9"/>
          </w:tcPr>
          <w:p w14:paraId="5CEA8366" w14:textId="77777777" w:rsidR="00C03B10" w:rsidRPr="00625958" w:rsidRDefault="00C03B10" w:rsidP="00C03B10">
            <w:pPr>
              <w:rPr>
                <w:sz w:val="18"/>
                <w:szCs w:val="18"/>
              </w:rPr>
            </w:pPr>
            <w:r w:rsidRPr="00625958">
              <w:rPr>
                <w:sz w:val="18"/>
                <w:szCs w:val="18"/>
              </w:rPr>
              <w:t>Summary of Analysis</w:t>
            </w:r>
          </w:p>
        </w:tc>
      </w:tr>
      <w:tr w:rsidR="00C03B10" w:rsidRPr="00625958" w14:paraId="4984D766" w14:textId="77777777" w:rsidTr="00785F60">
        <w:tc>
          <w:tcPr>
            <w:tcW w:w="14400" w:type="dxa"/>
            <w:gridSpan w:val="2"/>
            <w:tcBorders>
              <w:left w:val="single" w:sz="12" w:space="0" w:color="auto"/>
              <w:right w:val="single" w:sz="12" w:space="0" w:color="auto"/>
            </w:tcBorders>
          </w:tcPr>
          <w:p w14:paraId="78F46DB3" w14:textId="77777777" w:rsidR="00C03B10" w:rsidRPr="0066601A" w:rsidRDefault="00C03B10" w:rsidP="00C03B10">
            <w:pPr>
              <w:rPr>
                <w:b/>
                <w:bCs/>
                <w:sz w:val="18"/>
                <w:szCs w:val="18"/>
              </w:rPr>
            </w:pPr>
            <w:r w:rsidRPr="0066601A">
              <w:rPr>
                <w:b/>
                <w:bCs/>
                <w:sz w:val="18"/>
                <w:szCs w:val="18"/>
              </w:rPr>
              <w:t>J.P. Morgan SE: Agency Securities Finance business (“Agency Securities Finance”):</w:t>
            </w:r>
          </w:p>
          <w:p w14:paraId="54216B08" w14:textId="77777777" w:rsidR="00C03B10" w:rsidRPr="0066601A" w:rsidRDefault="00C03B10" w:rsidP="00C03B10">
            <w:pPr>
              <w:rPr>
                <w:b/>
                <w:bCs/>
                <w:sz w:val="18"/>
                <w:szCs w:val="18"/>
              </w:rPr>
            </w:pPr>
          </w:p>
          <w:p w14:paraId="2113E740" w14:textId="77777777" w:rsidR="00C03B10" w:rsidRDefault="00C03B10" w:rsidP="00C03B10">
            <w:pPr>
              <w:jc w:val="both"/>
              <w:rPr>
                <w:sz w:val="18"/>
                <w:szCs w:val="18"/>
              </w:rPr>
            </w:pPr>
            <w:r w:rsidRPr="00D275E0">
              <w:rPr>
                <w:sz w:val="18"/>
                <w:szCs w:val="18"/>
              </w:rPr>
              <w:t>For the year of 202</w:t>
            </w:r>
            <w:r>
              <w:rPr>
                <w:sz w:val="18"/>
                <w:szCs w:val="18"/>
              </w:rPr>
              <w:t>2,</w:t>
            </w:r>
            <w:r w:rsidRPr="00D275E0">
              <w:rPr>
                <w:sz w:val="18"/>
                <w:szCs w:val="18"/>
              </w:rPr>
              <w:t xml:space="preserve"> J.P. Morgan</w:t>
            </w:r>
            <w:r>
              <w:rPr>
                <w:sz w:val="18"/>
                <w:szCs w:val="18"/>
              </w:rPr>
              <w:t xml:space="preserve"> SE </w:t>
            </w:r>
            <w:r w:rsidRPr="00D275E0">
              <w:rPr>
                <w:sz w:val="18"/>
                <w:szCs w:val="18"/>
              </w:rPr>
              <w:t xml:space="preserve">Agency Securities </w:t>
            </w:r>
            <w:r>
              <w:rPr>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w:t>
            </w:r>
            <w:r>
              <w:rPr>
                <w:sz w:val="18"/>
                <w:szCs w:val="18"/>
              </w:rPr>
              <w:t xml:space="preserve"> programme.</w:t>
            </w:r>
            <w:r w:rsidRPr="00D275E0">
              <w:rPr>
                <w:sz w:val="18"/>
                <w:szCs w:val="18"/>
              </w:rPr>
              <w:t xml:space="preserv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139B57D2" w14:textId="77777777" w:rsidR="00C03B10" w:rsidRPr="00625958" w:rsidRDefault="00C03B10" w:rsidP="00C03B10">
            <w:pPr>
              <w:jc w:val="both"/>
              <w:rPr>
                <w:sz w:val="18"/>
                <w:szCs w:val="18"/>
              </w:rPr>
            </w:pPr>
          </w:p>
        </w:tc>
      </w:tr>
      <w:tr w:rsidR="00C03B10" w:rsidRPr="00625958" w14:paraId="60C7CA71" w14:textId="77777777" w:rsidTr="00785F60">
        <w:tc>
          <w:tcPr>
            <w:tcW w:w="4410" w:type="dxa"/>
            <w:tcBorders>
              <w:left w:val="single" w:sz="12" w:space="0" w:color="auto"/>
            </w:tcBorders>
            <w:shd w:val="clear" w:color="auto" w:fill="D9D9D9" w:themeFill="background1" w:themeFillShade="D9"/>
          </w:tcPr>
          <w:p w14:paraId="0848422B" w14:textId="77777777" w:rsidR="00C03B10" w:rsidRPr="00625958" w:rsidRDefault="00C03B10" w:rsidP="00C03B1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571F247E" w14:textId="77777777" w:rsidR="00C03B10" w:rsidRPr="00625958" w:rsidRDefault="00C03B10" w:rsidP="00C03B10">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37" w:history="1">
              <w:r w:rsidRPr="00293674">
                <w:rPr>
                  <w:rStyle w:val="Hyperlink"/>
                  <w:sz w:val="18"/>
                  <w:szCs w:val="18"/>
                </w:rPr>
                <w:t>J.P. Morgan EMEA Securities Services: Execution Policy Appendix 4</w:t>
              </w:r>
            </w:hyperlink>
            <w:r>
              <w:rPr>
                <w:sz w:val="18"/>
                <w:szCs w:val="18"/>
              </w:rPr>
              <w:t xml:space="preserve">.  In this policy, page 7 details the considerations for the key execution factors and page 11 details the factors affecting Agency Securities </w:t>
            </w:r>
            <w:r w:rsidRPr="00293674">
              <w:rPr>
                <w:sz w:val="18"/>
                <w:szCs w:val="18"/>
              </w:rPr>
              <w:t>Finance’s</w:t>
            </w:r>
            <w:r>
              <w:rPr>
                <w:sz w:val="18"/>
                <w:szCs w:val="18"/>
              </w:rPr>
              <w:t xml:space="preserve"> choice of execution venues.</w:t>
            </w:r>
          </w:p>
        </w:tc>
      </w:tr>
      <w:tr w:rsidR="00C03B10" w:rsidRPr="00625958" w14:paraId="4404D3A9" w14:textId="77777777" w:rsidTr="00785F60">
        <w:trPr>
          <w:trHeight w:val="485"/>
        </w:trPr>
        <w:tc>
          <w:tcPr>
            <w:tcW w:w="4410" w:type="dxa"/>
            <w:tcBorders>
              <w:left w:val="single" w:sz="12" w:space="0" w:color="auto"/>
            </w:tcBorders>
            <w:shd w:val="clear" w:color="auto" w:fill="D9D9D9" w:themeFill="background1" w:themeFillShade="D9"/>
          </w:tcPr>
          <w:p w14:paraId="6BAE34A1" w14:textId="77777777" w:rsidR="00C03B10" w:rsidRPr="00625958" w:rsidRDefault="00C03B10" w:rsidP="00C03B10">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shd w:val="clear" w:color="auto" w:fill="auto"/>
          </w:tcPr>
          <w:p w14:paraId="1525EDB1" w14:textId="77777777" w:rsidR="00C03B10" w:rsidRDefault="00C03B10" w:rsidP="00C03B10">
            <w:pPr>
              <w:rPr>
                <w:sz w:val="18"/>
                <w:szCs w:val="18"/>
              </w:rPr>
            </w:pPr>
            <w:r>
              <w:rPr>
                <w:sz w:val="18"/>
                <w:szCs w:val="18"/>
              </w:rPr>
              <w:t>J.P. Morgan SE is a fully owned subsidiary of JPMorgan Chase &amp; Co.</w:t>
            </w:r>
          </w:p>
          <w:p w14:paraId="6B1C53AC" w14:textId="77777777" w:rsidR="00C03B10" w:rsidRDefault="00C03B10" w:rsidP="00C03B10">
            <w:pPr>
              <w:rPr>
                <w:sz w:val="18"/>
                <w:szCs w:val="18"/>
              </w:rPr>
            </w:pPr>
          </w:p>
          <w:p w14:paraId="38C2EC6A" w14:textId="77777777" w:rsidR="00C03B10" w:rsidRPr="00293674" w:rsidRDefault="00C03B10" w:rsidP="00C03B10">
            <w:pPr>
              <w:rPr>
                <w:sz w:val="18"/>
                <w:szCs w:val="18"/>
              </w:rPr>
            </w:pPr>
            <w:r w:rsidRPr="00581B92">
              <w:rPr>
                <w:sz w:val="18"/>
                <w:szCs w:val="18"/>
              </w:rPr>
              <w:t>J.P. Morgan SE did not have any execution venue close links, conflicts of interest or common ownerships for the year of 2022.</w:t>
            </w:r>
          </w:p>
          <w:p w14:paraId="28F46CF6" w14:textId="77777777" w:rsidR="00C03B10" w:rsidRPr="00625958" w:rsidRDefault="00C03B10" w:rsidP="00C03B10">
            <w:pPr>
              <w:rPr>
                <w:sz w:val="18"/>
                <w:szCs w:val="18"/>
              </w:rPr>
            </w:pPr>
          </w:p>
        </w:tc>
      </w:tr>
      <w:tr w:rsidR="00C03B10" w:rsidRPr="00625958" w14:paraId="0C767E46" w14:textId="77777777" w:rsidTr="00785F60">
        <w:tc>
          <w:tcPr>
            <w:tcW w:w="4410" w:type="dxa"/>
            <w:tcBorders>
              <w:left w:val="single" w:sz="12" w:space="0" w:color="auto"/>
            </w:tcBorders>
            <w:shd w:val="clear" w:color="auto" w:fill="D9D9D9" w:themeFill="background1" w:themeFillShade="D9"/>
          </w:tcPr>
          <w:p w14:paraId="0838E060" w14:textId="77777777" w:rsidR="00C03B10" w:rsidRPr="00625958" w:rsidRDefault="00C03B10" w:rsidP="00C03B10">
            <w:pPr>
              <w:rPr>
                <w:sz w:val="18"/>
                <w:szCs w:val="18"/>
              </w:rPr>
            </w:pPr>
            <w:r w:rsidRPr="00625958">
              <w:rPr>
                <w:sz w:val="18"/>
                <w:szCs w:val="18"/>
              </w:rPr>
              <w:t>Specific execution venue arrangements</w:t>
            </w:r>
          </w:p>
        </w:tc>
        <w:tc>
          <w:tcPr>
            <w:tcW w:w="9990" w:type="dxa"/>
            <w:tcBorders>
              <w:right w:val="single" w:sz="12" w:space="0" w:color="auto"/>
            </w:tcBorders>
          </w:tcPr>
          <w:p w14:paraId="09047E86" w14:textId="64910EE0" w:rsidR="00C03B10" w:rsidRPr="00625958" w:rsidRDefault="00C03B10" w:rsidP="00C03B10">
            <w:pPr>
              <w:rPr>
                <w:sz w:val="18"/>
                <w:szCs w:val="18"/>
              </w:rPr>
            </w:pPr>
            <w:r>
              <w:rPr>
                <w:sz w:val="18"/>
                <w:szCs w:val="18"/>
              </w:rPr>
              <w:t xml:space="preserve"> </w:t>
            </w:r>
            <w:r w:rsidRPr="00581B92">
              <w:rPr>
                <w:sz w:val="18"/>
                <w:szCs w:val="18"/>
              </w:rPr>
              <w:t>J.P. Morgan SE did not have any specific execution venue arrangements for the year of 2022</w:t>
            </w:r>
          </w:p>
        </w:tc>
      </w:tr>
      <w:tr w:rsidR="00C03B10" w:rsidRPr="00625958" w14:paraId="1C1E1B21" w14:textId="77777777" w:rsidTr="00785F60">
        <w:trPr>
          <w:trHeight w:val="368"/>
        </w:trPr>
        <w:tc>
          <w:tcPr>
            <w:tcW w:w="4410" w:type="dxa"/>
            <w:tcBorders>
              <w:left w:val="single" w:sz="12" w:space="0" w:color="auto"/>
            </w:tcBorders>
            <w:shd w:val="clear" w:color="auto" w:fill="D9D9D9" w:themeFill="background1" w:themeFillShade="D9"/>
          </w:tcPr>
          <w:p w14:paraId="38D7019F" w14:textId="77777777" w:rsidR="00C03B10" w:rsidRPr="00625958" w:rsidRDefault="00C03B10" w:rsidP="00C03B10">
            <w:pPr>
              <w:rPr>
                <w:sz w:val="18"/>
                <w:szCs w:val="18"/>
              </w:rPr>
            </w:pPr>
            <w:r w:rsidRPr="00625958">
              <w:rPr>
                <w:sz w:val="18"/>
                <w:szCs w:val="18"/>
              </w:rPr>
              <w:t>Changes to execution venues</w:t>
            </w:r>
          </w:p>
        </w:tc>
        <w:tc>
          <w:tcPr>
            <w:tcW w:w="9990" w:type="dxa"/>
            <w:tcBorders>
              <w:right w:val="single" w:sz="12" w:space="0" w:color="auto"/>
            </w:tcBorders>
          </w:tcPr>
          <w:p w14:paraId="2B660176" w14:textId="77777777" w:rsidR="00C03B10" w:rsidRDefault="00C03B10" w:rsidP="00C03B10">
            <w:pPr>
              <w:rPr>
                <w:sz w:val="18"/>
                <w:szCs w:val="18"/>
              </w:rPr>
            </w:pPr>
            <w:r>
              <w:rPr>
                <w:sz w:val="18"/>
                <w:szCs w:val="18"/>
              </w:rPr>
              <w:t>No change to execution venues</w:t>
            </w:r>
            <w:proofErr w:type="gramStart"/>
            <w:r>
              <w:rPr>
                <w:sz w:val="18"/>
                <w:szCs w:val="18"/>
              </w:rPr>
              <w:t>. .</w:t>
            </w:r>
            <w:proofErr w:type="gramEnd"/>
            <w:r>
              <w:rPr>
                <w:sz w:val="18"/>
                <w:szCs w:val="18"/>
              </w:rPr>
              <w:t xml:space="preserve"> The list of execution venues can be found within the </w:t>
            </w:r>
            <w:hyperlink r:id="rId38" w:history="1">
              <w:r>
                <w:rPr>
                  <w:rStyle w:val="Hyperlink"/>
                  <w:sz w:val="18"/>
                  <w:szCs w:val="18"/>
                </w:rPr>
                <w:t>Disclosures</w:t>
              </w:r>
            </w:hyperlink>
            <w:r>
              <w:rPr>
                <w:sz w:val="18"/>
                <w:szCs w:val="18"/>
              </w:rPr>
              <w:t xml:space="preserve"> section of the Execution Policy -  </w:t>
            </w:r>
            <w:hyperlink r:id="rId39" w:history="1">
              <w:r w:rsidRPr="00FD2FC6">
                <w:rPr>
                  <w:rStyle w:val="Hyperlink"/>
                  <w:sz w:val="18"/>
                  <w:szCs w:val="18"/>
                </w:rPr>
                <w:t>Appendix 1 - List of Execution Venues</w:t>
              </w:r>
            </w:hyperlink>
            <w:r>
              <w:rPr>
                <w:sz w:val="18"/>
                <w:szCs w:val="18"/>
              </w:rPr>
              <w:t xml:space="preserve">.  </w:t>
            </w:r>
          </w:p>
          <w:p w14:paraId="0352D766" w14:textId="77777777" w:rsidR="00C03B10" w:rsidRPr="00625958" w:rsidRDefault="00C03B10" w:rsidP="00C03B10">
            <w:pPr>
              <w:rPr>
                <w:sz w:val="18"/>
                <w:szCs w:val="18"/>
              </w:rPr>
            </w:pPr>
          </w:p>
        </w:tc>
      </w:tr>
      <w:tr w:rsidR="006C4994" w:rsidRPr="00625958" w14:paraId="7E502238" w14:textId="77777777" w:rsidTr="00785F60">
        <w:tc>
          <w:tcPr>
            <w:tcW w:w="4410" w:type="dxa"/>
            <w:tcBorders>
              <w:left w:val="single" w:sz="12" w:space="0" w:color="auto"/>
            </w:tcBorders>
            <w:shd w:val="clear" w:color="auto" w:fill="D9D9D9" w:themeFill="background1" w:themeFillShade="D9"/>
          </w:tcPr>
          <w:p w14:paraId="4A0387DF" w14:textId="77777777" w:rsidR="006C4994" w:rsidRPr="00625958" w:rsidRDefault="006C4994" w:rsidP="006C4994">
            <w:pPr>
              <w:rPr>
                <w:sz w:val="18"/>
                <w:szCs w:val="18"/>
              </w:rPr>
            </w:pPr>
            <w:r w:rsidRPr="00625958">
              <w:rPr>
                <w:sz w:val="18"/>
                <w:szCs w:val="18"/>
              </w:rPr>
              <w:t>Client distinctions</w:t>
            </w:r>
          </w:p>
        </w:tc>
        <w:tc>
          <w:tcPr>
            <w:tcW w:w="9990" w:type="dxa"/>
            <w:tcBorders>
              <w:right w:val="single" w:sz="12" w:space="0" w:color="auto"/>
            </w:tcBorders>
          </w:tcPr>
          <w:p w14:paraId="179D87BC" w14:textId="77777777" w:rsidR="006C4994" w:rsidRDefault="006C4994" w:rsidP="006C4994">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116D06E0" w14:textId="77777777" w:rsidR="006C4994" w:rsidRDefault="006C4994" w:rsidP="006C4994">
            <w:pPr>
              <w:spacing w:after="120"/>
              <w:rPr>
                <w:sz w:val="18"/>
                <w:szCs w:val="18"/>
              </w:rPr>
            </w:pPr>
            <w:r>
              <w:rPr>
                <w:sz w:val="18"/>
                <w:szCs w:val="18"/>
              </w:rPr>
              <w:t xml:space="preserve">JPMSE CIB only deals with Professional Clients. </w:t>
            </w:r>
          </w:p>
          <w:p w14:paraId="1EAD6F1B" w14:textId="77777777" w:rsidR="006C4994" w:rsidRDefault="006C4994" w:rsidP="006C4994">
            <w:pPr>
              <w:rPr>
                <w:sz w:val="18"/>
                <w:szCs w:val="18"/>
              </w:rPr>
            </w:pPr>
            <w:r>
              <w:rPr>
                <w:sz w:val="18"/>
                <w:szCs w:val="18"/>
              </w:rPr>
              <w:t xml:space="preserve">However, JPMSE PB deals with both Professional and Retail Clients and its Best Execution disclosures can be found </w:t>
            </w:r>
            <w:hyperlink r:id="rId40" w:history="1">
              <w:r>
                <w:rPr>
                  <w:rStyle w:val="Hyperlink"/>
                  <w:sz w:val="18"/>
                  <w:szCs w:val="18"/>
                </w:rPr>
                <w:t>here</w:t>
              </w:r>
            </w:hyperlink>
            <w:r>
              <w:rPr>
                <w:sz w:val="18"/>
                <w:szCs w:val="18"/>
              </w:rPr>
              <w:t>.</w:t>
            </w:r>
          </w:p>
          <w:p w14:paraId="0CA057AC" w14:textId="217F809C" w:rsidR="006C4994" w:rsidRPr="007253C8" w:rsidRDefault="006C4994" w:rsidP="006C4994">
            <w:pPr>
              <w:spacing w:after="120"/>
              <w:rPr>
                <w:sz w:val="18"/>
                <w:szCs w:val="18"/>
                <w:highlight w:val="yellow"/>
              </w:rPr>
            </w:pPr>
          </w:p>
        </w:tc>
      </w:tr>
      <w:tr w:rsidR="006C4994" w:rsidRPr="00625958" w14:paraId="255FB7BD" w14:textId="77777777" w:rsidTr="00785F60">
        <w:tc>
          <w:tcPr>
            <w:tcW w:w="4410" w:type="dxa"/>
            <w:tcBorders>
              <w:left w:val="single" w:sz="12" w:space="0" w:color="auto"/>
            </w:tcBorders>
            <w:shd w:val="clear" w:color="auto" w:fill="D9D9D9" w:themeFill="background1" w:themeFillShade="D9"/>
          </w:tcPr>
          <w:p w14:paraId="633DBC26" w14:textId="77777777" w:rsidR="006C4994" w:rsidRPr="00625958" w:rsidRDefault="006C4994" w:rsidP="006C4994">
            <w:pPr>
              <w:rPr>
                <w:sz w:val="18"/>
                <w:szCs w:val="18"/>
              </w:rPr>
            </w:pPr>
            <w:r>
              <w:rPr>
                <w:sz w:val="18"/>
                <w:szCs w:val="18"/>
              </w:rPr>
              <w:t>Retail client orders</w:t>
            </w:r>
          </w:p>
        </w:tc>
        <w:tc>
          <w:tcPr>
            <w:tcW w:w="9990" w:type="dxa"/>
            <w:tcBorders>
              <w:right w:val="single" w:sz="12" w:space="0" w:color="auto"/>
            </w:tcBorders>
          </w:tcPr>
          <w:p w14:paraId="5267D6BE" w14:textId="77777777" w:rsidR="006C4994" w:rsidRPr="00EC5BE7" w:rsidRDefault="006C4994" w:rsidP="006C4994">
            <w:pPr>
              <w:rPr>
                <w:sz w:val="18"/>
                <w:szCs w:val="18"/>
              </w:rPr>
            </w:pPr>
            <w:r w:rsidRPr="00EC5BE7">
              <w:rPr>
                <w:sz w:val="18"/>
                <w:szCs w:val="18"/>
              </w:rPr>
              <w:t>See above</w:t>
            </w:r>
          </w:p>
          <w:p w14:paraId="74A6282A" w14:textId="77777777" w:rsidR="006C4994" w:rsidRPr="007253C8" w:rsidRDefault="006C4994" w:rsidP="006C4994">
            <w:pPr>
              <w:spacing w:after="120"/>
              <w:rPr>
                <w:sz w:val="18"/>
                <w:szCs w:val="18"/>
                <w:highlight w:val="yellow"/>
              </w:rPr>
            </w:pPr>
          </w:p>
        </w:tc>
      </w:tr>
      <w:tr w:rsidR="006C4994" w:rsidRPr="00625958" w14:paraId="5A3975B5" w14:textId="77777777" w:rsidTr="00785F60">
        <w:tc>
          <w:tcPr>
            <w:tcW w:w="4410" w:type="dxa"/>
            <w:tcBorders>
              <w:left w:val="single" w:sz="12" w:space="0" w:color="auto"/>
            </w:tcBorders>
            <w:shd w:val="clear" w:color="auto" w:fill="D9D9D9" w:themeFill="background1" w:themeFillShade="D9"/>
          </w:tcPr>
          <w:p w14:paraId="64189776" w14:textId="77777777" w:rsidR="006C4994" w:rsidRPr="00625958" w:rsidRDefault="006C4994" w:rsidP="006C4994">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1E7786DA" w14:textId="77777777" w:rsidR="006C4994" w:rsidRPr="00581B92" w:rsidRDefault="006C4994" w:rsidP="006C4994">
            <w:pPr>
              <w:rPr>
                <w:sz w:val="18"/>
                <w:szCs w:val="18"/>
              </w:rPr>
            </w:pPr>
            <w:r w:rsidRPr="00581B92">
              <w:rPr>
                <w:sz w:val="18"/>
                <w:szCs w:val="18"/>
              </w:rPr>
              <w:t xml:space="preserve">Securities financing transactions (SFTs): </w:t>
            </w:r>
            <w:r w:rsidRPr="00625958">
              <w:rPr>
                <w:sz w:val="18"/>
                <w:szCs w:val="18"/>
              </w:rPr>
              <w:t xml:space="preserve"> J.P. Morgan </w:t>
            </w:r>
            <w:r>
              <w:rPr>
                <w:sz w:val="18"/>
                <w:szCs w:val="18"/>
              </w:rPr>
              <w:t xml:space="preserve">SE </w:t>
            </w:r>
            <w:r w:rsidRPr="00581B92">
              <w:rPr>
                <w:sz w:val="18"/>
                <w:szCs w:val="18"/>
              </w:rPr>
              <w:t>assessed the fairness of pricing of loans subject to Best Execution by comparing open loan fees and rebates to rates supplied by third party vendors.</w:t>
            </w:r>
          </w:p>
          <w:p w14:paraId="6A7D0BC5" w14:textId="77777777" w:rsidR="006C4994" w:rsidRPr="00625958" w:rsidRDefault="006C4994" w:rsidP="006C4994">
            <w:pPr>
              <w:spacing w:after="120"/>
              <w:rPr>
                <w:sz w:val="18"/>
                <w:szCs w:val="18"/>
              </w:rPr>
            </w:pPr>
            <w:r w:rsidRPr="00581B92">
              <w:rPr>
                <w:sz w:val="18"/>
                <w:szCs w:val="18"/>
              </w:rPr>
              <w:lastRenderedPageBreak/>
              <w:t xml:space="preserve">Investment of Cash or Cash Collateral: </w:t>
            </w:r>
            <w:r w:rsidRPr="00625958">
              <w:rPr>
                <w:sz w:val="18"/>
                <w:szCs w:val="18"/>
              </w:rPr>
              <w:t xml:space="preserve"> J.P. Morgan</w:t>
            </w:r>
            <w:r>
              <w:rPr>
                <w:sz w:val="18"/>
                <w:szCs w:val="18"/>
              </w:rPr>
              <w:t xml:space="preserve"> SE</w:t>
            </w:r>
            <w:r w:rsidRPr="00625958">
              <w:rPr>
                <w:sz w:val="18"/>
                <w:szCs w:val="18"/>
              </w:rPr>
              <w:t xml:space="preserve"> </w:t>
            </w:r>
            <w:r>
              <w:rPr>
                <w:sz w:val="18"/>
                <w:szCs w:val="18"/>
              </w:rPr>
              <w:t>assessed the fairness of pricing of transactions subject to Best Execution by evaluating Term investment executions against different external reference prices.</w:t>
            </w:r>
          </w:p>
        </w:tc>
      </w:tr>
      <w:tr w:rsidR="006C4994" w:rsidRPr="00625958" w14:paraId="2C8BDD70" w14:textId="77777777" w:rsidTr="00785F60">
        <w:tc>
          <w:tcPr>
            <w:tcW w:w="4410" w:type="dxa"/>
            <w:tcBorders>
              <w:left w:val="single" w:sz="12" w:space="0" w:color="auto"/>
              <w:bottom w:val="single" w:sz="12" w:space="0" w:color="auto"/>
            </w:tcBorders>
            <w:shd w:val="clear" w:color="auto" w:fill="D9D9D9" w:themeFill="background1" w:themeFillShade="D9"/>
          </w:tcPr>
          <w:p w14:paraId="6965853B" w14:textId="77777777" w:rsidR="006C4994" w:rsidRPr="00625958" w:rsidRDefault="006C4994" w:rsidP="006C4994">
            <w:pPr>
              <w:rPr>
                <w:sz w:val="18"/>
                <w:szCs w:val="18"/>
              </w:rPr>
            </w:pPr>
            <w:r w:rsidRPr="00625958">
              <w:rPr>
                <w:sz w:val="18"/>
                <w:szCs w:val="18"/>
              </w:rPr>
              <w:lastRenderedPageBreak/>
              <w:t>Use of consolidated tape provider output or other algorithms to assess execution performances</w:t>
            </w:r>
          </w:p>
        </w:tc>
        <w:tc>
          <w:tcPr>
            <w:tcW w:w="9990" w:type="dxa"/>
            <w:tcBorders>
              <w:bottom w:val="single" w:sz="12" w:space="0" w:color="auto"/>
              <w:right w:val="single" w:sz="12" w:space="0" w:color="auto"/>
            </w:tcBorders>
          </w:tcPr>
          <w:p w14:paraId="76B51886" w14:textId="2BBAC290" w:rsidR="006C4994" w:rsidRDefault="006C4994" w:rsidP="006C4994">
            <w:pPr>
              <w:rPr>
                <w:sz w:val="18"/>
                <w:szCs w:val="18"/>
              </w:rPr>
            </w:pPr>
            <w:r>
              <w:rPr>
                <w:sz w:val="18"/>
                <w:szCs w:val="18"/>
              </w:rPr>
              <w:t>J.P. Morgan SE did not use consolidated tape provider output or other algorithms to assess execution performances for the year of 2022</w:t>
            </w:r>
            <w:r w:rsidR="008249B0">
              <w:rPr>
                <w:sz w:val="18"/>
                <w:szCs w:val="18"/>
              </w:rPr>
              <w:t>.</w:t>
            </w:r>
          </w:p>
          <w:p w14:paraId="1C7AC2B2" w14:textId="77777777" w:rsidR="006C4994" w:rsidRPr="00581B92" w:rsidRDefault="006C4994" w:rsidP="006C4994">
            <w:pPr>
              <w:rPr>
                <w:sz w:val="18"/>
                <w:szCs w:val="18"/>
              </w:rPr>
            </w:pPr>
          </w:p>
        </w:tc>
      </w:tr>
    </w:tbl>
    <w:p w14:paraId="78A59A53" w14:textId="1914B08C" w:rsidR="00C03B10" w:rsidRDefault="00C03B10" w:rsidP="00C03B10">
      <w:pPr>
        <w:rPr>
          <w:color w:val="FF0000"/>
          <w:sz w:val="18"/>
          <w:szCs w:val="18"/>
        </w:rPr>
      </w:pPr>
    </w:p>
    <w:tbl>
      <w:tblPr>
        <w:tblStyle w:val="TableGrid"/>
        <w:tblpPr w:leftFromText="180" w:rightFromText="180" w:vertAnchor="page" w:horzAnchor="margin" w:tblpY="1503"/>
        <w:tblW w:w="14400" w:type="dxa"/>
        <w:tblLook w:val="04A0" w:firstRow="1" w:lastRow="0" w:firstColumn="1" w:lastColumn="0" w:noHBand="0" w:noVBand="1"/>
      </w:tblPr>
      <w:tblGrid>
        <w:gridCol w:w="4410"/>
        <w:gridCol w:w="9990"/>
      </w:tblGrid>
      <w:tr w:rsidR="00C03B10" w:rsidRPr="00625958" w14:paraId="2912D838" w14:textId="77777777" w:rsidTr="00C03B1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41E673B" w14:textId="77777777" w:rsidR="00C03B10" w:rsidRPr="00625958" w:rsidRDefault="00C03B10" w:rsidP="00C03B10">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1D6AE654" w14:textId="77777777" w:rsidR="00C03B10" w:rsidRPr="00625958" w:rsidRDefault="00C03B10" w:rsidP="00C03B10">
            <w:pPr>
              <w:rPr>
                <w:sz w:val="18"/>
                <w:szCs w:val="18"/>
              </w:rPr>
            </w:pPr>
            <w:r w:rsidRPr="00625958">
              <w:rPr>
                <w:sz w:val="18"/>
                <w:szCs w:val="18"/>
              </w:rPr>
              <w:t>J.P. Morgan</w:t>
            </w:r>
            <w:r>
              <w:rPr>
                <w:sz w:val="18"/>
                <w:szCs w:val="18"/>
              </w:rPr>
              <w:t xml:space="preserve"> SE</w:t>
            </w:r>
            <w:r w:rsidRPr="00625958">
              <w:rPr>
                <w:sz w:val="18"/>
                <w:szCs w:val="18"/>
              </w:rPr>
              <w:t xml:space="preserve"> (</w:t>
            </w:r>
            <w:r w:rsidRPr="001B5F42">
              <w:rPr>
                <w:sz w:val="18"/>
                <w:szCs w:val="18"/>
              </w:rPr>
              <w:t>549300ZK53CNGEEI6A</w:t>
            </w:r>
            <w:proofErr w:type="gramStart"/>
            <w:r w:rsidRPr="001B5F42">
              <w:rPr>
                <w:sz w:val="18"/>
                <w:szCs w:val="18"/>
              </w:rPr>
              <w:t>29</w:t>
            </w:r>
            <w:r w:rsidRPr="00625958">
              <w:rPr>
                <w:sz w:val="18"/>
                <w:szCs w:val="18"/>
              </w:rPr>
              <w:t>)</w:t>
            </w:r>
            <w:r>
              <w:rPr>
                <w:sz w:val="18"/>
                <w:szCs w:val="18"/>
              </w:rPr>
              <w:t>*</w:t>
            </w:r>
            <w:proofErr w:type="gramEnd"/>
          </w:p>
        </w:tc>
      </w:tr>
      <w:tr w:rsidR="00C03B10" w:rsidRPr="00625958" w14:paraId="5488D42B" w14:textId="77777777" w:rsidTr="00C03B1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2FD9C8E" w14:textId="77777777" w:rsidR="00C03B10" w:rsidRPr="00625958" w:rsidRDefault="00C03B10" w:rsidP="00C03B10">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66BE6F9" w14:textId="77777777" w:rsidR="00C03B10" w:rsidRPr="00625958" w:rsidRDefault="00C03B10" w:rsidP="00C03B10">
            <w:pPr>
              <w:rPr>
                <w:sz w:val="18"/>
                <w:szCs w:val="18"/>
              </w:rPr>
            </w:pPr>
            <w:r w:rsidRPr="00625958">
              <w:rPr>
                <w:sz w:val="18"/>
                <w:szCs w:val="18"/>
              </w:rPr>
              <w:t xml:space="preserve">Debt </w:t>
            </w:r>
            <w:r>
              <w:rPr>
                <w:sz w:val="18"/>
                <w:szCs w:val="18"/>
              </w:rPr>
              <w:t>i</w:t>
            </w:r>
            <w:r w:rsidRPr="00625958">
              <w:rPr>
                <w:sz w:val="18"/>
                <w:szCs w:val="18"/>
              </w:rPr>
              <w:t xml:space="preserve">nstruments: </w:t>
            </w:r>
            <w:r>
              <w:rPr>
                <w:sz w:val="18"/>
                <w:szCs w:val="18"/>
              </w:rPr>
              <w:t xml:space="preserve">Money markets instruments </w:t>
            </w:r>
          </w:p>
        </w:tc>
      </w:tr>
      <w:tr w:rsidR="00C03B10" w:rsidRPr="00625958" w14:paraId="60433BDF" w14:textId="77777777" w:rsidTr="00C03B1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0405D2D" w14:textId="77777777" w:rsidR="00C03B10" w:rsidRPr="00625958" w:rsidRDefault="00C03B10" w:rsidP="00C03B10">
            <w:pPr>
              <w:jc w:val="center"/>
              <w:rPr>
                <w:sz w:val="18"/>
                <w:szCs w:val="18"/>
              </w:rPr>
            </w:pPr>
            <w:r w:rsidRPr="00625958">
              <w:rPr>
                <w:sz w:val="18"/>
                <w:szCs w:val="18"/>
              </w:rPr>
              <w:t>Summary of Analysis</w:t>
            </w:r>
          </w:p>
        </w:tc>
      </w:tr>
      <w:tr w:rsidR="00C03B10" w:rsidRPr="00625958" w14:paraId="5ECE0708" w14:textId="77777777" w:rsidTr="00C03B10">
        <w:tc>
          <w:tcPr>
            <w:tcW w:w="14400" w:type="dxa"/>
            <w:gridSpan w:val="2"/>
            <w:tcBorders>
              <w:left w:val="single" w:sz="12" w:space="0" w:color="auto"/>
              <w:right w:val="single" w:sz="12" w:space="0" w:color="auto"/>
            </w:tcBorders>
          </w:tcPr>
          <w:p w14:paraId="0E5CC084" w14:textId="77777777" w:rsidR="00C03B10" w:rsidRPr="00625958" w:rsidRDefault="00C03B10" w:rsidP="00C03B10">
            <w:pPr>
              <w:spacing w:after="200"/>
              <w:contextualSpacing/>
              <w:rPr>
                <w:b/>
                <w:color w:val="000000" w:themeColor="text1"/>
                <w:sz w:val="18"/>
                <w:szCs w:val="18"/>
                <w:u w:val="single"/>
              </w:rPr>
            </w:pPr>
            <w:r w:rsidRPr="00625958">
              <w:rPr>
                <w:b/>
                <w:color w:val="000000" w:themeColor="text1"/>
                <w:sz w:val="18"/>
                <w:szCs w:val="18"/>
                <w:u w:val="single"/>
              </w:rPr>
              <w:t>J.P. Morgan</w:t>
            </w:r>
            <w:r>
              <w:rPr>
                <w:b/>
                <w:color w:val="000000" w:themeColor="text1"/>
                <w:sz w:val="18"/>
                <w:szCs w:val="18"/>
                <w:u w:val="single"/>
              </w:rPr>
              <w:t xml:space="preserve"> SE</w:t>
            </w:r>
            <w:r w:rsidRPr="00625958">
              <w:rPr>
                <w:b/>
                <w:color w:val="000000" w:themeColor="text1"/>
                <w:sz w:val="18"/>
                <w:szCs w:val="18"/>
                <w:u w:val="single"/>
              </w:rPr>
              <w:t xml:space="preserve">: </w:t>
            </w:r>
            <w:r>
              <w:rPr>
                <w:b/>
                <w:color w:val="000000" w:themeColor="text1"/>
                <w:sz w:val="18"/>
                <w:szCs w:val="18"/>
                <w:u w:val="single"/>
              </w:rPr>
              <w:t xml:space="preserve">Agency Securities Finance business </w:t>
            </w:r>
            <w:r w:rsidRPr="00625958">
              <w:rPr>
                <w:b/>
                <w:color w:val="000000" w:themeColor="text1"/>
                <w:sz w:val="18"/>
                <w:szCs w:val="18"/>
                <w:u w:val="single"/>
              </w:rPr>
              <w:t xml:space="preserve">(“Agency </w:t>
            </w:r>
            <w:r>
              <w:rPr>
                <w:b/>
                <w:color w:val="000000" w:themeColor="text1"/>
                <w:sz w:val="18"/>
                <w:szCs w:val="18"/>
                <w:u w:val="single"/>
              </w:rPr>
              <w:t>Securities Finance</w:t>
            </w:r>
            <w:r w:rsidRPr="00625958">
              <w:rPr>
                <w:b/>
                <w:color w:val="000000" w:themeColor="text1"/>
                <w:sz w:val="18"/>
                <w:szCs w:val="18"/>
                <w:u w:val="single"/>
              </w:rPr>
              <w:t>”):</w:t>
            </w:r>
          </w:p>
          <w:p w14:paraId="17524E04" w14:textId="77777777" w:rsidR="00C03B10" w:rsidRDefault="00C03B10" w:rsidP="00C03B10">
            <w:pPr>
              <w:jc w:val="both"/>
              <w:rPr>
                <w:sz w:val="18"/>
                <w:szCs w:val="18"/>
              </w:rPr>
            </w:pPr>
          </w:p>
          <w:p w14:paraId="4B879C8F" w14:textId="77777777" w:rsidR="00C03B10" w:rsidRDefault="00C03B10" w:rsidP="00C03B10">
            <w:pPr>
              <w:jc w:val="both"/>
              <w:rPr>
                <w:sz w:val="18"/>
                <w:szCs w:val="18"/>
              </w:rPr>
            </w:pPr>
            <w:r w:rsidRPr="00D275E0">
              <w:rPr>
                <w:sz w:val="18"/>
                <w:szCs w:val="18"/>
              </w:rPr>
              <w:t>For the year of 202</w:t>
            </w:r>
            <w:r>
              <w:rPr>
                <w:sz w:val="18"/>
                <w:szCs w:val="18"/>
              </w:rPr>
              <w:t>2,</w:t>
            </w:r>
            <w:r w:rsidRPr="00D275E0">
              <w:rPr>
                <w:sz w:val="18"/>
                <w:szCs w:val="18"/>
              </w:rPr>
              <w:t xml:space="preserve"> J.P. Morgan </w:t>
            </w:r>
            <w:proofErr w:type="gramStart"/>
            <w:r>
              <w:rPr>
                <w:sz w:val="18"/>
                <w:szCs w:val="18"/>
              </w:rPr>
              <w:t xml:space="preserve">SE </w:t>
            </w:r>
            <w:r w:rsidRPr="00D275E0">
              <w:rPr>
                <w:sz w:val="18"/>
                <w:szCs w:val="18"/>
              </w:rPr>
              <w:t xml:space="preserve"> Agency</w:t>
            </w:r>
            <w:proofErr w:type="gramEnd"/>
            <w:r w:rsidRPr="00D275E0">
              <w:rPr>
                <w:sz w:val="18"/>
                <w:szCs w:val="18"/>
              </w:rPr>
              <w:t xml:space="preserve"> Securities </w:t>
            </w:r>
            <w:r w:rsidRPr="00AB2A57">
              <w:rPr>
                <w:bCs/>
                <w:color w:val="000000" w:themeColor="text1"/>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2C8E0121" w14:textId="77777777" w:rsidR="00C03B10" w:rsidRPr="00625958" w:rsidRDefault="00C03B10" w:rsidP="00C03B10">
            <w:pPr>
              <w:jc w:val="both"/>
              <w:rPr>
                <w:sz w:val="18"/>
                <w:szCs w:val="18"/>
              </w:rPr>
            </w:pPr>
          </w:p>
        </w:tc>
      </w:tr>
      <w:tr w:rsidR="00C03B10" w:rsidRPr="00625958" w14:paraId="07645C4C" w14:textId="77777777" w:rsidTr="00C03B10">
        <w:tc>
          <w:tcPr>
            <w:tcW w:w="4410" w:type="dxa"/>
            <w:tcBorders>
              <w:left w:val="single" w:sz="12" w:space="0" w:color="auto"/>
            </w:tcBorders>
            <w:shd w:val="clear" w:color="auto" w:fill="D9D9D9" w:themeFill="background1" w:themeFillShade="D9"/>
          </w:tcPr>
          <w:p w14:paraId="20F0B904" w14:textId="77777777" w:rsidR="00C03B10" w:rsidRPr="00625958" w:rsidRDefault="00C03B10" w:rsidP="00C03B1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4DF692A3" w14:textId="77777777" w:rsidR="00C03B10" w:rsidRPr="00625958" w:rsidRDefault="00C03B10" w:rsidP="00C03B10">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41" w:history="1">
              <w:r w:rsidRPr="00293674">
                <w:rPr>
                  <w:rStyle w:val="Hyperlink"/>
                  <w:sz w:val="18"/>
                  <w:szCs w:val="18"/>
                </w:rPr>
                <w:t>J.P. Morgan EMEA Securities Services: Execution Policy Appendix 4</w:t>
              </w:r>
            </w:hyperlink>
            <w:r>
              <w:rPr>
                <w:sz w:val="18"/>
                <w:szCs w:val="18"/>
              </w:rPr>
              <w:t xml:space="preserve">.  In this policy, page 7 details the considerations for the key execution factors and page 11 details the factors affecting Agency Securities </w:t>
            </w:r>
            <w:r w:rsidRPr="00293674">
              <w:rPr>
                <w:sz w:val="18"/>
                <w:szCs w:val="18"/>
              </w:rPr>
              <w:t>Finance’s</w:t>
            </w:r>
            <w:r>
              <w:rPr>
                <w:sz w:val="18"/>
                <w:szCs w:val="18"/>
              </w:rPr>
              <w:t xml:space="preserve"> choice of execution venues.</w:t>
            </w:r>
          </w:p>
        </w:tc>
      </w:tr>
      <w:tr w:rsidR="00C03B10" w:rsidRPr="00625958" w14:paraId="72307AEE" w14:textId="77777777" w:rsidTr="00C03B10">
        <w:trPr>
          <w:trHeight w:val="485"/>
        </w:trPr>
        <w:tc>
          <w:tcPr>
            <w:tcW w:w="4410" w:type="dxa"/>
            <w:tcBorders>
              <w:left w:val="single" w:sz="12" w:space="0" w:color="auto"/>
            </w:tcBorders>
            <w:shd w:val="clear" w:color="auto" w:fill="D9D9D9" w:themeFill="background1" w:themeFillShade="D9"/>
          </w:tcPr>
          <w:p w14:paraId="3035845C" w14:textId="77777777" w:rsidR="00C03B10" w:rsidRPr="00625958" w:rsidRDefault="00C03B10" w:rsidP="00C03B10">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10239278" w14:textId="77777777" w:rsidR="00C03B10" w:rsidRDefault="00C03B10" w:rsidP="00C03B10">
            <w:pPr>
              <w:rPr>
                <w:sz w:val="18"/>
                <w:szCs w:val="18"/>
              </w:rPr>
            </w:pPr>
            <w:r>
              <w:rPr>
                <w:sz w:val="18"/>
                <w:szCs w:val="18"/>
              </w:rPr>
              <w:t>J.P. Morgan SE, is a fully owned subsidiary of JPMorgan Chase &amp; Co.</w:t>
            </w:r>
          </w:p>
          <w:p w14:paraId="3FB6BF4A" w14:textId="77777777" w:rsidR="00C03B10" w:rsidRDefault="00C03B10" w:rsidP="00C03B10">
            <w:pPr>
              <w:rPr>
                <w:sz w:val="18"/>
                <w:szCs w:val="18"/>
              </w:rPr>
            </w:pPr>
          </w:p>
          <w:p w14:paraId="60D54E7A" w14:textId="77777777" w:rsidR="00C03B10" w:rsidRPr="00625958" w:rsidRDefault="00C03B10" w:rsidP="00C03B10">
            <w:pPr>
              <w:rPr>
                <w:sz w:val="18"/>
                <w:szCs w:val="18"/>
              </w:rPr>
            </w:pPr>
            <w:r w:rsidRPr="00683402">
              <w:rPr>
                <w:bCs/>
                <w:color w:val="000000" w:themeColor="text1"/>
                <w:sz w:val="18"/>
                <w:szCs w:val="18"/>
              </w:rPr>
              <w:t>J.P. Morgan</w:t>
            </w:r>
            <w:r>
              <w:rPr>
                <w:bCs/>
                <w:color w:val="000000" w:themeColor="text1"/>
                <w:sz w:val="18"/>
                <w:szCs w:val="18"/>
              </w:rPr>
              <w:t xml:space="preserve"> SE</w:t>
            </w:r>
            <w:r w:rsidRPr="00683402">
              <w:rPr>
                <w:bCs/>
                <w:color w:val="000000" w:themeColor="text1"/>
                <w:sz w:val="18"/>
                <w:szCs w:val="18"/>
              </w:rPr>
              <w:t xml:space="preserve"> did not have any execution venue close links, conflicts of interest or common ownerships for the year of 202</w:t>
            </w:r>
            <w:r>
              <w:rPr>
                <w:bCs/>
                <w:color w:val="000000" w:themeColor="text1"/>
                <w:sz w:val="18"/>
                <w:szCs w:val="18"/>
              </w:rPr>
              <w:t>2.</w:t>
            </w:r>
          </w:p>
        </w:tc>
      </w:tr>
      <w:tr w:rsidR="00C03B10" w:rsidRPr="00625958" w14:paraId="5ED513C6" w14:textId="77777777" w:rsidTr="00C03B10">
        <w:trPr>
          <w:trHeight w:val="368"/>
        </w:trPr>
        <w:tc>
          <w:tcPr>
            <w:tcW w:w="4410" w:type="dxa"/>
            <w:tcBorders>
              <w:left w:val="single" w:sz="12" w:space="0" w:color="auto"/>
            </w:tcBorders>
            <w:shd w:val="clear" w:color="auto" w:fill="D9D9D9" w:themeFill="background1" w:themeFillShade="D9"/>
          </w:tcPr>
          <w:p w14:paraId="48E8E9C8" w14:textId="77777777" w:rsidR="00C03B10" w:rsidRPr="00625958" w:rsidRDefault="00C03B10" w:rsidP="00C03B10">
            <w:pPr>
              <w:rPr>
                <w:sz w:val="18"/>
                <w:szCs w:val="18"/>
              </w:rPr>
            </w:pPr>
            <w:r w:rsidRPr="00625958">
              <w:rPr>
                <w:sz w:val="18"/>
                <w:szCs w:val="18"/>
              </w:rPr>
              <w:t>Specific execution venue arrangements</w:t>
            </w:r>
          </w:p>
        </w:tc>
        <w:tc>
          <w:tcPr>
            <w:tcW w:w="9990" w:type="dxa"/>
            <w:tcBorders>
              <w:right w:val="single" w:sz="12" w:space="0" w:color="auto"/>
            </w:tcBorders>
          </w:tcPr>
          <w:p w14:paraId="2A5D7819" w14:textId="77777777" w:rsidR="00C03B10" w:rsidRPr="00625958" w:rsidRDefault="00C03B10" w:rsidP="00C03B10">
            <w:pPr>
              <w:rPr>
                <w:sz w:val="18"/>
                <w:szCs w:val="18"/>
              </w:rPr>
            </w:pPr>
            <w:r>
              <w:rPr>
                <w:sz w:val="18"/>
                <w:szCs w:val="18"/>
              </w:rPr>
              <w:t xml:space="preserve"> </w:t>
            </w:r>
            <w:r>
              <w:rPr>
                <w:iCs/>
                <w:sz w:val="18"/>
                <w:szCs w:val="18"/>
              </w:rPr>
              <w:t>J.P. Morgan SE did not have any specific execution venue arrangements for the year of 2022.</w:t>
            </w:r>
          </w:p>
        </w:tc>
      </w:tr>
      <w:tr w:rsidR="00C03B10" w:rsidRPr="00625958" w14:paraId="7428F0D4" w14:textId="77777777" w:rsidTr="00C03B10">
        <w:trPr>
          <w:trHeight w:val="368"/>
        </w:trPr>
        <w:tc>
          <w:tcPr>
            <w:tcW w:w="4410" w:type="dxa"/>
            <w:tcBorders>
              <w:left w:val="single" w:sz="12" w:space="0" w:color="auto"/>
            </w:tcBorders>
            <w:shd w:val="clear" w:color="auto" w:fill="D9D9D9" w:themeFill="background1" w:themeFillShade="D9"/>
          </w:tcPr>
          <w:p w14:paraId="2F6471B7" w14:textId="77777777" w:rsidR="00C03B10" w:rsidRPr="00625958" w:rsidRDefault="00C03B10" w:rsidP="00C03B10">
            <w:pPr>
              <w:rPr>
                <w:sz w:val="18"/>
                <w:szCs w:val="18"/>
              </w:rPr>
            </w:pPr>
            <w:r w:rsidRPr="00625958">
              <w:rPr>
                <w:sz w:val="18"/>
                <w:szCs w:val="18"/>
              </w:rPr>
              <w:t>Changes to execution venues</w:t>
            </w:r>
          </w:p>
        </w:tc>
        <w:tc>
          <w:tcPr>
            <w:tcW w:w="9990" w:type="dxa"/>
            <w:tcBorders>
              <w:right w:val="single" w:sz="12" w:space="0" w:color="auto"/>
            </w:tcBorders>
          </w:tcPr>
          <w:p w14:paraId="3B6B4AB4" w14:textId="77777777" w:rsidR="00C03B10" w:rsidRDefault="00C03B10" w:rsidP="00C03B10">
            <w:pPr>
              <w:rPr>
                <w:sz w:val="18"/>
                <w:szCs w:val="18"/>
              </w:rPr>
            </w:pPr>
            <w:r>
              <w:rPr>
                <w:sz w:val="18"/>
                <w:szCs w:val="18"/>
              </w:rPr>
              <w:t xml:space="preserve">No change to execution venues. The list of execution venues can be found within the </w:t>
            </w:r>
            <w:hyperlink r:id="rId42" w:history="1">
              <w:r>
                <w:rPr>
                  <w:rStyle w:val="Hyperlink"/>
                  <w:sz w:val="18"/>
                  <w:szCs w:val="18"/>
                </w:rPr>
                <w:t>Disclosures</w:t>
              </w:r>
            </w:hyperlink>
            <w:r>
              <w:rPr>
                <w:sz w:val="18"/>
                <w:szCs w:val="18"/>
              </w:rPr>
              <w:t xml:space="preserve"> section of the Execution Policy -  </w:t>
            </w:r>
            <w:hyperlink r:id="rId43" w:history="1">
              <w:r w:rsidRPr="00FD2FC6">
                <w:rPr>
                  <w:rStyle w:val="Hyperlink"/>
                  <w:sz w:val="18"/>
                  <w:szCs w:val="18"/>
                </w:rPr>
                <w:t>Appendix 1 - List of Execution Venues</w:t>
              </w:r>
            </w:hyperlink>
            <w:r>
              <w:rPr>
                <w:sz w:val="18"/>
                <w:szCs w:val="18"/>
              </w:rPr>
              <w:t xml:space="preserve">.  </w:t>
            </w:r>
          </w:p>
          <w:p w14:paraId="1E1DB156" w14:textId="77777777" w:rsidR="00C03B10" w:rsidRPr="00625958" w:rsidRDefault="00C03B10" w:rsidP="00C03B10">
            <w:pPr>
              <w:rPr>
                <w:sz w:val="18"/>
                <w:szCs w:val="18"/>
              </w:rPr>
            </w:pPr>
          </w:p>
        </w:tc>
      </w:tr>
      <w:tr w:rsidR="006C4994" w:rsidRPr="00625958" w14:paraId="553EF7C3" w14:textId="77777777" w:rsidTr="00C03B10">
        <w:tc>
          <w:tcPr>
            <w:tcW w:w="4410" w:type="dxa"/>
            <w:tcBorders>
              <w:left w:val="single" w:sz="12" w:space="0" w:color="auto"/>
            </w:tcBorders>
            <w:shd w:val="clear" w:color="auto" w:fill="D9D9D9" w:themeFill="background1" w:themeFillShade="D9"/>
          </w:tcPr>
          <w:p w14:paraId="61ABE4E2" w14:textId="77777777" w:rsidR="006C4994" w:rsidRPr="00625958" w:rsidRDefault="006C4994" w:rsidP="006C4994">
            <w:pPr>
              <w:rPr>
                <w:sz w:val="18"/>
                <w:szCs w:val="18"/>
              </w:rPr>
            </w:pPr>
            <w:r w:rsidRPr="00625958">
              <w:rPr>
                <w:sz w:val="18"/>
                <w:szCs w:val="18"/>
              </w:rPr>
              <w:t>Client distinctions</w:t>
            </w:r>
          </w:p>
        </w:tc>
        <w:tc>
          <w:tcPr>
            <w:tcW w:w="9990" w:type="dxa"/>
            <w:tcBorders>
              <w:right w:val="single" w:sz="12" w:space="0" w:color="auto"/>
            </w:tcBorders>
          </w:tcPr>
          <w:p w14:paraId="74952803" w14:textId="77777777" w:rsidR="006C4994" w:rsidRDefault="006C4994" w:rsidP="006C4994">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192CF081" w14:textId="77777777" w:rsidR="006C4994" w:rsidRDefault="006C4994" w:rsidP="006C4994">
            <w:pPr>
              <w:spacing w:after="120"/>
              <w:rPr>
                <w:sz w:val="18"/>
                <w:szCs w:val="18"/>
              </w:rPr>
            </w:pPr>
            <w:r>
              <w:rPr>
                <w:sz w:val="18"/>
                <w:szCs w:val="18"/>
              </w:rPr>
              <w:t xml:space="preserve">JPMSE CIB only deals with Professional Clients. </w:t>
            </w:r>
          </w:p>
          <w:p w14:paraId="6C13509D" w14:textId="77777777" w:rsidR="006C4994" w:rsidRDefault="006C4994" w:rsidP="006C4994">
            <w:pPr>
              <w:rPr>
                <w:sz w:val="18"/>
                <w:szCs w:val="18"/>
              </w:rPr>
            </w:pPr>
            <w:r>
              <w:rPr>
                <w:sz w:val="18"/>
                <w:szCs w:val="18"/>
              </w:rPr>
              <w:t xml:space="preserve">However, JPMSE PB deals with both Professional and Retail Clients and its Best Execution disclosures can be found </w:t>
            </w:r>
            <w:hyperlink r:id="rId44" w:history="1">
              <w:r>
                <w:rPr>
                  <w:rStyle w:val="Hyperlink"/>
                  <w:sz w:val="18"/>
                  <w:szCs w:val="18"/>
                </w:rPr>
                <w:t>here</w:t>
              </w:r>
            </w:hyperlink>
            <w:r>
              <w:rPr>
                <w:sz w:val="18"/>
                <w:szCs w:val="18"/>
              </w:rPr>
              <w:t>.</w:t>
            </w:r>
          </w:p>
          <w:p w14:paraId="6EB5F32D" w14:textId="7E8C2D54" w:rsidR="006C4994" w:rsidRPr="001D3603" w:rsidRDefault="006C4994" w:rsidP="006C4994">
            <w:pPr>
              <w:spacing w:after="120"/>
              <w:rPr>
                <w:sz w:val="18"/>
                <w:szCs w:val="18"/>
                <w:highlight w:val="yellow"/>
              </w:rPr>
            </w:pPr>
          </w:p>
        </w:tc>
      </w:tr>
      <w:tr w:rsidR="006C4994" w:rsidRPr="00625958" w14:paraId="7B624415" w14:textId="77777777" w:rsidTr="00C03B10">
        <w:trPr>
          <w:trHeight w:val="413"/>
        </w:trPr>
        <w:tc>
          <w:tcPr>
            <w:tcW w:w="4410" w:type="dxa"/>
            <w:tcBorders>
              <w:left w:val="single" w:sz="12" w:space="0" w:color="auto"/>
            </w:tcBorders>
            <w:shd w:val="clear" w:color="auto" w:fill="D9D9D9" w:themeFill="background1" w:themeFillShade="D9"/>
          </w:tcPr>
          <w:p w14:paraId="6BB3DBC3" w14:textId="77777777" w:rsidR="006C4994" w:rsidRPr="00625958" w:rsidRDefault="006C4994" w:rsidP="006C4994">
            <w:pPr>
              <w:rPr>
                <w:sz w:val="18"/>
                <w:szCs w:val="18"/>
              </w:rPr>
            </w:pPr>
            <w:r>
              <w:rPr>
                <w:sz w:val="18"/>
                <w:szCs w:val="18"/>
              </w:rPr>
              <w:t>Retail client orders</w:t>
            </w:r>
          </w:p>
        </w:tc>
        <w:tc>
          <w:tcPr>
            <w:tcW w:w="9990" w:type="dxa"/>
            <w:tcBorders>
              <w:right w:val="single" w:sz="12" w:space="0" w:color="auto"/>
            </w:tcBorders>
          </w:tcPr>
          <w:p w14:paraId="6E02C591" w14:textId="77777777" w:rsidR="006C4994" w:rsidRPr="001D3603" w:rsidRDefault="006C4994" w:rsidP="006C4994">
            <w:pPr>
              <w:rPr>
                <w:sz w:val="18"/>
                <w:szCs w:val="18"/>
                <w:highlight w:val="yellow"/>
              </w:rPr>
            </w:pPr>
            <w:r w:rsidRPr="00EC5BE7">
              <w:rPr>
                <w:sz w:val="18"/>
                <w:szCs w:val="18"/>
              </w:rPr>
              <w:t>See above</w:t>
            </w:r>
          </w:p>
        </w:tc>
      </w:tr>
      <w:tr w:rsidR="006C4994" w:rsidRPr="00625958" w14:paraId="2CF70442" w14:textId="77777777" w:rsidTr="00C03B10">
        <w:tc>
          <w:tcPr>
            <w:tcW w:w="4410" w:type="dxa"/>
            <w:tcBorders>
              <w:left w:val="single" w:sz="12" w:space="0" w:color="auto"/>
            </w:tcBorders>
            <w:shd w:val="clear" w:color="auto" w:fill="D9D9D9" w:themeFill="background1" w:themeFillShade="D9"/>
          </w:tcPr>
          <w:p w14:paraId="03DAD5F0" w14:textId="77777777" w:rsidR="006C4994" w:rsidRPr="00625958" w:rsidRDefault="006C4994" w:rsidP="006C4994">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7D4E18D9" w14:textId="77777777" w:rsidR="006C4994" w:rsidRDefault="006C4994" w:rsidP="006C4994">
            <w:pPr>
              <w:rPr>
                <w:color w:val="000000"/>
                <w:sz w:val="18"/>
                <w:szCs w:val="18"/>
              </w:rPr>
            </w:pPr>
            <w:r>
              <w:rPr>
                <w:color w:val="000000"/>
                <w:sz w:val="18"/>
                <w:szCs w:val="18"/>
                <w:u w:val="single"/>
              </w:rPr>
              <w:t xml:space="preserve">Securities financing transactions (SFTs): </w:t>
            </w:r>
            <w:r w:rsidRPr="00625958">
              <w:rPr>
                <w:sz w:val="18"/>
                <w:szCs w:val="18"/>
              </w:rPr>
              <w:t xml:space="preserve"> J.P. Morgan</w:t>
            </w:r>
            <w:r>
              <w:rPr>
                <w:sz w:val="18"/>
                <w:szCs w:val="18"/>
              </w:rPr>
              <w:t xml:space="preserve"> SE</w:t>
            </w:r>
            <w:r w:rsidRPr="00625958">
              <w:rPr>
                <w:sz w:val="18"/>
                <w:szCs w:val="18"/>
              </w:rPr>
              <w:t xml:space="preserve"> </w:t>
            </w:r>
            <w:r>
              <w:rPr>
                <w:color w:val="000000"/>
                <w:sz w:val="18"/>
                <w:szCs w:val="18"/>
              </w:rPr>
              <w:t>assessed the fairness of pricing of loans subject to Best Execution by comparing open loan fees and rebates to rates supplied by third party vendors.</w:t>
            </w:r>
          </w:p>
          <w:p w14:paraId="381C33AB" w14:textId="77777777" w:rsidR="006C4994" w:rsidRPr="00625958" w:rsidRDefault="006C4994" w:rsidP="006C4994">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w:t>
            </w:r>
            <w:r>
              <w:rPr>
                <w:sz w:val="18"/>
                <w:szCs w:val="18"/>
              </w:rPr>
              <w:t xml:space="preserve"> SE</w:t>
            </w:r>
            <w:r w:rsidRPr="00625958">
              <w:rPr>
                <w:sz w:val="18"/>
                <w:szCs w:val="18"/>
              </w:rPr>
              <w:t xml:space="preserve"> </w:t>
            </w:r>
            <w:r>
              <w:rPr>
                <w:sz w:val="18"/>
                <w:szCs w:val="18"/>
              </w:rPr>
              <w:t>assessed the fairness of pricing of transactions subject to Best Execution by evaluating Term investment executions against different external reference prices.</w:t>
            </w:r>
          </w:p>
        </w:tc>
      </w:tr>
      <w:tr w:rsidR="006C4994" w:rsidRPr="00625958" w14:paraId="13A03954" w14:textId="77777777" w:rsidTr="00EE52E8">
        <w:trPr>
          <w:trHeight w:val="566"/>
        </w:trPr>
        <w:tc>
          <w:tcPr>
            <w:tcW w:w="4410" w:type="dxa"/>
            <w:tcBorders>
              <w:left w:val="single" w:sz="12" w:space="0" w:color="auto"/>
              <w:bottom w:val="single" w:sz="12" w:space="0" w:color="auto"/>
            </w:tcBorders>
            <w:shd w:val="clear" w:color="auto" w:fill="D9D9D9" w:themeFill="background1" w:themeFillShade="D9"/>
          </w:tcPr>
          <w:p w14:paraId="1B6B295A" w14:textId="77777777" w:rsidR="006C4994" w:rsidRPr="00625958" w:rsidRDefault="006C4994" w:rsidP="006C4994">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91E1F35" w14:textId="5EE29F1D" w:rsidR="006C4994" w:rsidRPr="00625958" w:rsidRDefault="006C4994" w:rsidP="006C4994">
            <w:pPr>
              <w:rPr>
                <w:sz w:val="18"/>
                <w:szCs w:val="18"/>
              </w:rPr>
            </w:pPr>
            <w:r>
              <w:rPr>
                <w:sz w:val="18"/>
                <w:szCs w:val="18"/>
              </w:rPr>
              <w:t xml:space="preserve"> J.P. Morgan SE did not use consolidated tape provider output or other algorithms to assess execution performances for the year of 2022</w:t>
            </w:r>
            <w:r w:rsidR="00EE52E8">
              <w:rPr>
                <w:sz w:val="18"/>
                <w:szCs w:val="18"/>
              </w:rPr>
              <w:t>.</w:t>
            </w:r>
          </w:p>
        </w:tc>
      </w:tr>
    </w:tbl>
    <w:p w14:paraId="1A473A07" w14:textId="48F519F6" w:rsidR="00C03B10" w:rsidRDefault="00C03B10"/>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430448" w:rsidRPr="00625958" w14:paraId="1391605F" w14:textId="77777777" w:rsidTr="00C03B10">
        <w:trPr>
          <w:trHeight w:val="330"/>
        </w:trPr>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27484DB" w14:textId="7C6D0460" w:rsidR="00430448" w:rsidRPr="00625958" w:rsidRDefault="00430448" w:rsidP="00430448">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2B19B068" w14:textId="2EB63DBA" w:rsidR="00430448" w:rsidRPr="00625958" w:rsidRDefault="00430448" w:rsidP="00430448">
            <w:pPr>
              <w:rPr>
                <w:sz w:val="18"/>
                <w:szCs w:val="18"/>
              </w:rPr>
            </w:pPr>
            <w:r w:rsidRPr="00625958">
              <w:rPr>
                <w:sz w:val="18"/>
                <w:szCs w:val="18"/>
              </w:rPr>
              <w:t>J.P. Morgan</w:t>
            </w:r>
            <w:r w:rsidR="0039172F">
              <w:rPr>
                <w:sz w:val="18"/>
                <w:szCs w:val="18"/>
              </w:rPr>
              <w:t xml:space="preserve"> SE</w:t>
            </w:r>
            <w:r w:rsidRPr="00625958">
              <w:rPr>
                <w:sz w:val="18"/>
                <w:szCs w:val="18"/>
              </w:rPr>
              <w:t xml:space="preserve"> (</w:t>
            </w:r>
            <w:r w:rsidR="0039172F" w:rsidRPr="001B5F42">
              <w:rPr>
                <w:sz w:val="18"/>
                <w:szCs w:val="18"/>
              </w:rPr>
              <w:t>549300ZK53CNGEEI6A</w:t>
            </w:r>
            <w:proofErr w:type="gramStart"/>
            <w:r w:rsidR="0039172F" w:rsidRPr="001B5F42">
              <w:rPr>
                <w:sz w:val="18"/>
                <w:szCs w:val="18"/>
              </w:rPr>
              <w:t>29</w:t>
            </w:r>
            <w:r w:rsidRPr="00625958">
              <w:rPr>
                <w:sz w:val="18"/>
                <w:szCs w:val="18"/>
              </w:rPr>
              <w:t>)</w:t>
            </w:r>
            <w:r w:rsidR="00BB0591">
              <w:rPr>
                <w:sz w:val="18"/>
                <w:szCs w:val="18"/>
              </w:rPr>
              <w:t>*</w:t>
            </w:r>
            <w:proofErr w:type="gramEnd"/>
          </w:p>
        </w:tc>
      </w:tr>
      <w:tr w:rsidR="00430448" w14:paraId="2FC073BC" w14:textId="77777777" w:rsidTr="00C03B1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B2AE724" w14:textId="36A82445" w:rsidR="00430448" w:rsidRPr="00625958" w:rsidRDefault="00430448" w:rsidP="00430448">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7F2269F" w14:textId="68E660A6" w:rsidR="00430448" w:rsidRDefault="00430448" w:rsidP="00430448">
            <w:pPr>
              <w:rPr>
                <w:color w:val="000000"/>
                <w:sz w:val="18"/>
                <w:szCs w:val="18"/>
              </w:rPr>
            </w:pPr>
            <w:r w:rsidRPr="00625958">
              <w:rPr>
                <w:color w:val="000000"/>
                <w:sz w:val="18"/>
                <w:szCs w:val="18"/>
              </w:rPr>
              <w:t xml:space="preserve">Equities - Shares &amp; Depositary Receipts: Tick </w:t>
            </w:r>
            <w:r>
              <w:rPr>
                <w:color w:val="000000"/>
                <w:sz w:val="18"/>
                <w:szCs w:val="18"/>
              </w:rPr>
              <w:t>s</w:t>
            </w:r>
            <w:r w:rsidRPr="00625958">
              <w:rPr>
                <w:color w:val="000000"/>
                <w:sz w:val="18"/>
                <w:szCs w:val="18"/>
              </w:rPr>
              <w:t xml:space="preserve">ize </w:t>
            </w:r>
            <w:r>
              <w:rPr>
                <w:color w:val="000000"/>
                <w:sz w:val="18"/>
                <w:szCs w:val="18"/>
              </w:rPr>
              <w:t>l</w:t>
            </w:r>
            <w:r w:rsidRPr="00625958">
              <w:rPr>
                <w:color w:val="000000"/>
                <w:sz w:val="18"/>
                <w:szCs w:val="18"/>
              </w:rPr>
              <w:t xml:space="preserve">iquidity </w:t>
            </w:r>
            <w:r>
              <w:rPr>
                <w:color w:val="000000"/>
                <w:sz w:val="18"/>
                <w:szCs w:val="18"/>
              </w:rPr>
              <w:t>b</w:t>
            </w:r>
            <w:r w:rsidRPr="00625958">
              <w:rPr>
                <w:color w:val="000000"/>
                <w:sz w:val="18"/>
                <w:szCs w:val="18"/>
              </w:rPr>
              <w:t xml:space="preserve">and 1 </w:t>
            </w:r>
            <w:r>
              <w:rPr>
                <w:color w:val="000000"/>
                <w:sz w:val="18"/>
                <w:szCs w:val="18"/>
              </w:rPr>
              <w:t>a</w:t>
            </w:r>
            <w:r w:rsidRPr="00625958">
              <w:rPr>
                <w:color w:val="000000"/>
                <w:sz w:val="18"/>
                <w:szCs w:val="18"/>
              </w:rPr>
              <w:t>nd 2 (from 0 To 79 trades per day)</w:t>
            </w:r>
          </w:p>
        </w:tc>
      </w:tr>
      <w:tr w:rsidR="00430448" w:rsidRPr="00625958" w14:paraId="1979DE11" w14:textId="77777777" w:rsidTr="00C03B1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F5420C4" w14:textId="77777777" w:rsidR="00430448" w:rsidRPr="00625958" w:rsidRDefault="00430448" w:rsidP="00430448">
            <w:pPr>
              <w:jc w:val="center"/>
              <w:rPr>
                <w:sz w:val="18"/>
                <w:szCs w:val="18"/>
              </w:rPr>
            </w:pPr>
            <w:r w:rsidRPr="00625958">
              <w:rPr>
                <w:sz w:val="18"/>
                <w:szCs w:val="18"/>
              </w:rPr>
              <w:t>Summary of Analysis</w:t>
            </w:r>
          </w:p>
        </w:tc>
      </w:tr>
      <w:tr w:rsidR="00430448" w:rsidRPr="00625958" w14:paraId="5E1A4B66" w14:textId="77777777" w:rsidTr="00C03B10">
        <w:tc>
          <w:tcPr>
            <w:tcW w:w="14400" w:type="dxa"/>
            <w:gridSpan w:val="2"/>
            <w:tcBorders>
              <w:left w:val="single" w:sz="12" w:space="0" w:color="auto"/>
              <w:right w:val="single" w:sz="12" w:space="0" w:color="auto"/>
            </w:tcBorders>
          </w:tcPr>
          <w:p w14:paraId="7348E400" w14:textId="1619E3E7" w:rsidR="00430448" w:rsidRPr="00625958" w:rsidRDefault="00430448" w:rsidP="00430448">
            <w:pPr>
              <w:spacing w:after="200"/>
              <w:contextualSpacing/>
              <w:rPr>
                <w:b/>
                <w:color w:val="000000" w:themeColor="text1"/>
                <w:sz w:val="18"/>
                <w:szCs w:val="18"/>
                <w:u w:val="single"/>
              </w:rPr>
            </w:pPr>
            <w:r w:rsidRPr="00625958">
              <w:rPr>
                <w:b/>
                <w:color w:val="000000" w:themeColor="text1"/>
                <w:sz w:val="18"/>
                <w:szCs w:val="18"/>
                <w:u w:val="single"/>
              </w:rPr>
              <w:t>J.P. Morgan</w:t>
            </w:r>
            <w:r w:rsidR="001D3603">
              <w:rPr>
                <w:b/>
                <w:color w:val="000000" w:themeColor="text1"/>
                <w:sz w:val="18"/>
                <w:szCs w:val="18"/>
                <w:u w:val="single"/>
              </w:rPr>
              <w:t xml:space="preserve"> </w:t>
            </w:r>
            <w:r w:rsidR="00697692">
              <w:rPr>
                <w:b/>
                <w:color w:val="000000" w:themeColor="text1"/>
                <w:sz w:val="18"/>
                <w:szCs w:val="18"/>
                <w:u w:val="single"/>
              </w:rPr>
              <w:t>SE</w:t>
            </w:r>
            <w:r w:rsidRPr="00625958">
              <w:rPr>
                <w:b/>
                <w:color w:val="000000" w:themeColor="text1"/>
                <w:sz w:val="18"/>
                <w:szCs w:val="18"/>
                <w:u w:val="single"/>
              </w:rPr>
              <w:t xml:space="preserve">: </w:t>
            </w:r>
            <w:r>
              <w:rPr>
                <w:b/>
                <w:color w:val="000000" w:themeColor="text1"/>
                <w:sz w:val="18"/>
                <w:szCs w:val="18"/>
                <w:u w:val="single"/>
              </w:rPr>
              <w:t xml:space="preserve">Agency Securities </w:t>
            </w:r>
            <w:r w:rsidR="00C9488A">
              <w:rPr>
                <w:b/>
                <w:color w:val="000000" w:themeColor="text1"/>
                <w:sz w:val="18"/>
                <w:szCs w:val="18"/>
                <w:u w:val="single"/>
              </w:rPr>
              <w:t>Finance</w:t>
            </w:r>
            <w:r>
              <w:rPr>
                <w:b/>
                <w:color w:val="000000" w:themeColor="text1"/>
                <w:sz w:val="18"/>
                <w:szCs w:val="18"/>
                <w:u w:val="single"/>
              </w:rPr>
              <w:t xml:space="preserve">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00C9488A">
              <w:rPr>
                <w:b/>
                <w:color w:val="000000" w:themeColor="text1"/>
                <w:sz w:val="18"/>
                <w:szCs w:val="18"/>
                <w:u w:val="single"/>
              </w:rPr>
              <w:t>Finance</w:t>
            </w:r>
            <w:r w:rsidRPr="00625958">
              <w:rPr>
                <w:b/>
                <w:color w:val="000000" w:themeColor="text1"/>
                <w:sz w:val="18"/>
                <w:szCs w:val="18"/>
                <w:u w:val="single"/>
              </w:rPr>
              <w:t>”):</w:t>
            </w:r>
          </w:p>
          <w:p w14:paraId="4E5FCC2F" w14:textId="77777777" w:rsidR="00430448" w:rsidRDefault="00430448" w:rsidP="00430448">
            <w:pPr>
              <w:jc w:val="both"/>
              <w:rPr>
                <w:sz w:val="18"/>
                <w:szCs w:val="18"/>
              </w:rPr>
            </w:pPr>
          </w:p>
          <w:p w14:paraId="747F7BC4" w14:textId="72FA345E" w:rsidR="00430448" w:rsidRDefault="00430448" w:rsidP="00430448">
            <w:pPr>
              <w:jc w:val="both"/>
              <w:rPr>
                <w:sz w:val="18"/>
                <w:szCs w:val="18"/>
              </w:rPr>
            </w:pPr>
            <w:r w:rsidRPr="00D275E0">
              <w:rPr>
                <w:sz w:val="18"/>
                <w:szCs w:val="18"/>
              </w:rPr>
              <w:t>For the year of 202</w:t>
            </w:r>
            <w:r w:rsidR="007641E2">
              <w:rPr>
                <w:sz w:val="18"/>
                <w:szCs w:val="18"/>
              </w:rPr>
              <w:t>2</w:t>
            </w:r>
            <w:r>
              <w:rPr>
                <w:sz w:val="18"/>
                <w:szCs w:val="18"/>
              </w:rPr>
              <w:t>,</w:t>
            </w:r>
            <w:r w:rsidRPr="00D275E0">
              <w:rPr>
                <w:sz w:val="18"/>
                <w:szCs w:val="18"/>
              </w:rPr>
              <w:t xml:space="preserve"> J.P. Morgan </w:t>
            </w:r>
            <w:r w:rsidR="00697692">
              <w:rPr>
                <w:sz w:val="18"/>
                <w:szCs w:val="18"/>
              </w:rPr>
              <w:t xml:space="preserve">SE </w:t>
            </w:r>
            <w:r w:rsidRPr="00D275E0">
              <w:rPr>
                <w:sz w:val="18"/>
                <w:szCs w:val="18"/>
              </w:rPr>
              <w:t xml:space="preserve">Agency Securities </w:t>
            </w:r>
            <w:r w:rsidR="00C9488A">
              <w:rPr>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4C290E66" w14:textId="17CB7CCD" w:rsidR="00323ABC" w:rsidRPr="00625958" w:rsidRDefault="00323ABC" w:rsidP="00430448">
            <w:pPr>
              <w:jc w:val="both"/>
              <w:rPr>
                <w:sz w:val="18"/>
                <w:szCs w:val="18"/>
              </w:rPr>
            </w:pPr>
          </w:p>
        </w:tc>
      </w:tr>
      <w:tr w:rsidR="00430448" w:rsidRPr="00625958" w14:paraId="7883A227" w14:textId="77777777" w:rsidTr="00C03B10">
        <w:tc>
          <w:tcPr>
            <w:tcW w:w="4410" w:type="dxa"/>
            <w:tcBorders>
              <w:left w:val="single" w:sz="12" w:space="0" w:color="auto"/>
            </w:tcBorders>
            <w:shd w:val="clear" w:color="auto" w:fill="D9D9D9" w:themeFill="background1" w:themeFillShade="D9"/>
          </w:tcPr>
          <w:p w14:paraId="31CB7AEC" w14:textId="77777777" w:rsidR="00430448" w:rsidRPr="00625958" w:rsidRDefault="00430448" w:rsidP="00430448">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663774AB" w14:textId="03B7EB5E" w:rsidR="00430448" w:rsidRPr="00625958" w:rsidRDefault="004329CB" w:rsidP="00430448">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45" w:history="1">
              <w:r w:rsidRPr="00293674">
                <w:rPr>
                  <w:rStyle w:val="Hyperlink"/>
                  <w:sz w:val="18"/>
                  <w:szCs w:val="18"/>
                </w:rPr>
                <w:t>J.P. Morgan EMEA Securities Services: Execution Policy Appendix 4</w:t>
              </w:r>
            </w:hyperlink>
            <w:r>
              <w:rPr>
                <w:sz w:val="18"/>
                <w:szCs w:val="18"/>
              </w:rPr>
              <w:t xml:space="preserve">.  In this policy, page 7 details the considerations for the key execution factors and page 11 details the factors affecting Agency Securities </w:t>
            </w:r>
            <w:r w:rsidRPr="00293674">
              <w:rPr>
                <w:sz w:val="18"/>
                <w:szCs w:val="18"/>
              </w:rPr>
              <w:t>Finance’s</w:t>
            </w:r>
            <w:r>
              <w:rPr>
                <w:sz w:val="18"/>
                <w:szCs w:val="18"/>
              </w:rPr>
              <w:t xml:space="preserve"> choice of execution venues.  </w:t>
            </w:r>
          </w:p>
        </w:tc>
      </w:tr>
      <w:tr w:rsidR="00430448" w:rsidRPr="00625958" w14:paraId="11D50EDA" w14:textId="77777777" w:rsidTr="00C03B10">
        <w:trPr>
          <w:trHeight w:val="485"/>
        </w:trPr>
        <w:tc>
          <w:tcPr>
            <w:tcW w:w="4410" w:type="dxa"/>
            <w:tcBorders>
              <w:left w:val="single" w:sz="12" w:space="0" w:color="auto"/>
            </w:tcBorders>
            <w:shd w:val="clear" w:color="auto" w:fill="D9D9D9" w:themeFill="background1" w:themeFillShade="D9"/>
          </w:tcPr>
          <w:p w14:paraId="6CF0B0CB" w14:textId="77777777" w:rsidR="00430448" w:rsidRPr="00625958" w:rsidRDefault="00430448" w:rsidP="00430448">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74376E8C" w14:textId="41CD3A4F" w:rsidR="004F5D32" w:rsidRDefault="004F5D32" w:rsidP="004F5D32">
            <w:pPr>
              <w:rPr>
                <w:sz w:val="18"/>
                <w:szCs w:val="18"/>
              </w:rPr>
            </w:pPr>
            <w:r>
              <w:rPr>
                <w:sz w:val="18"/>
                <w:szCs w:val="18"/>
              </w:rPr>
              <w:t>J.P. Morgan</w:t>
            </w:r>
            <w:r w:rsidR="00697692">
              <w:rPr>
                <w:sz w:val="18"/>
                <w:szCs w:val="18"/>
              </w:rPr>
              <w:t xml:space="preserve"> SE</w:t>
            </w:r>
            <w:r>
              <w:rPr>
                <w:sz w:val="18"/>
                <w:szCs w:val="18"/>
              </w:rPr>
              <w:t>, is a fully owned subsidiary of JPMorgan Chase &amp; Co.</w:t>
            </w:r>
          </w:p>
          <w:p w14:paraId="46C44268" w14:textId="72345E74" w:rsidR="00697692" w:rsidRPr="00293674" w:rsidRDefault="00697692" w:rsidP="004F5D32">
            <w:pPr>
              <w:rPr>
                <w:sz w:val="18"/>
                <w:szCs w:val="18"/>
              </w:rPr>
            </w:pPr>
            <w:r w:rsidRPr="00683402">
              <w:rPr>
                <w:bCs/>
                <w:color w:val="000000" w:themeColor="text1"/>
                <w:sz w:val="18"/>
                <w:szCs w:val="18"/>
              </w:rPr>
              <w:t>J.P. Morgan</w:t>
            </w:r>
            <w:r>
              <w:rPr>
                <w:bCs/>
                <w:color w:val="000000" w:themeColor="text1"/>
                <w:sz w:val="18"/>
                <w:szCs w:val="18"/>
              </w:rPr>
              <w:t xml:space="preserve"> SE</w:t>
            </w:r>
            <w:r w:rsidRPr="00683402">
              <w:rPr>
                <w:bCs/>
                <w:color w:val="000000" w:themeColor="text1"/>
                <w:sz w:val="18"/>
                <w:szCs w:val="18"/>
              </w:rPr>
              <w:t xml:space="preserve"> did not have any execution venue close links, conflicts of interest or common ownerships for the year of 202</w:t>
            </w:r>
            <w:r>
              <w:rPr>
                <w:bCs/>
                <w:color w:val="000000" w:themeColor="text1"/>
                <w:sz w:val="18"/>
                <w:szCs w:val="18"/>
              </w:rPr>
              <w:t>2</w:t>
            </w:r>
          </w:p>
          <w:p w14:paraId="76A0CC93" w14:textId="1672FE4F" w:rsidR="002F2FB9" w:rsidRPr="00625958" w:rsidRDefault="002F2FB9" w:rsidP="003907BC">
            <w:pPr>
              <w:rPr>
                <w:sz w:val="18"/>
                <w:szCs w:val="18"/>
              </w:rPr>
            </w:pPr>
          </w:p>
        </w:tc>
      </w:tr>
      <w:tr w:rsidR="00BD4745" w:rsidRPr="00625958" w14:paraId="14195483" w14:textId="77777777" w:rsidTr="00C03B10">
        <w:tc>
          <w:tcPr>
            <w:tcW w:w="4410" w:type="dxa"/>
            <w:tcBorders>
              <w:left w:val="single" w:sz="12" w:space="0" w:color="auto"/>
            </w:tcBorders>
            <w:shd w:val="clear" w:color="auto" w:fill="D9D9D9" w:themeFill="background1" w:themeFillShade="D9"/>
          </w:tcPr>
          <w:p w14:paraId="35A786F4" w14:textId="77777777" w:rsidR="00BD4745" w:rsidRPr="00625958" w:rsidRDefault="00BD4745" w:rsidP="00BD4745">
            <w:pPr>
              <w:rPr>
                <w:sz w:val="18"/>
                <w:szCs w:val="18"/>
              </w:rPr>
            </w:pPr>
            <w:r w:rsidRPr="00625958">
              <w:rPr>
                <w:sz w:val="18"/>
                <w:szCs w:val="18"/>
              </w:rPr>
              <w:t>Specific execution venue arrangements</w:t>
            </w:r>
          </w:p>
        </w:tc>
        <w:tc>
          <w:tcPr>
            <w:tcW w:w="9990" w:type="dxa"/>
            <w:tcBorders>
              <w:right w:val="single" w:sz="12" w:space="0" w:color="auto"/>
            </w:tcBorders>
          </w:tcPr>
          <w:p w14:paraId="5D3511A9" w14:textId="20FE6637" w:rsidR="003907BC" w:rsidRDefault="00697692" w:rsidP="003907BC">
            <w:pPr>
              <w:rPr>
                <w:sz w:val="18"/>
                <w:szCs w:val="18"/>
              </w:rPr>
            </w:pPr>
            <w:r>
              <w:rPr>
                <w:iCs/>
                <w:sz w:val="18"/>
                <w:szCs w:val="18"/>
              </w:rPr>
              <w:t>J.P. Morgan SE did not have any specific execution venue arrangements for the year of 2022</w:t>
            </w:r>
          </w:p>
          <w:p w14:paraId="1AE3113F" w14:textId="2A21B899" w:rsidR="002F2FB9" w:rsidRPr="00625958" w:rsidRDefault="002F2FB9" w:rsidP="003907BC">
            <w:pPr>
              <w:rPr>
                <w:sz w:val="18"/>
                <w:szCs w:val="18"/>
              </w:rPr>
            </w:pPr>
          </w:p>
        </w:tc>
      </w:tr>
      <w:tr w:rsidR="00055F5C" w:rsidRPr="00625958" w14:paraId="7868A2EE" w14:textId="77777777" w:rsidTr="00C03B10">
        <w:trPr>
          <w:trHeight w:val="368"/>
        </w:trPr>
        <w:tc>
          <w:tcPr>
            <w:tcW w:w="4410" w:type="dxa"/>
            <w:tcBorders>
              <w:left w:val="single" w:sz="12" w:space="0" w:color="auto"/>
            </w:tcBorders>
            <w:shd w:val="clear" w:color="auto" w:fill="D9D9D9" w:themeFill="background1" w:themeFillShade="D9"/>
          </w:tcPr>
          <w:p w14:paraId="2ACBE907" w14:textId="77777777" w:rsidR="00055F5C" w:rsidRPr="00625958" w:rsidRDefault="00055F5C" w:rsidP="00055F5C">
            <w:pPr>
              <w:rPr>
                <w:sz w:val="18"/>
                <w:szCs w:val="18"/>
              </w:rPr>
            </w:pPr>
            <w:r w:rsidRPr="00625958">
              <w:rPr>
                <w:sz w:val="18"/>
                <w:szCs w:val="18"/>
              </w:rPr>
              <w:t>Changes to execution venues</w:t>
            </w:r>
          </w:p>
        </w:tc>
        <w:tc>
          <w:tcPr>
            <w:tcW w:w="9990" w:type="dxa"/>
            <w:tcBorders>
              <w:right w:val="single" w:sz="12" w:space="0" w:color="auto"/>
            </w:tcBorders>
          </w:tcPr>
          <w:p w14:paraId="6BB7774D" w14:textId="159FCFDB" w:rsidR="00055F5C" w:rsidRPr="00625958" w:rsidRDefault="00055F5C" w:rsidP="00055F5C">
            <w:pPr>
              <w:spacing w:after="120"/>
              <w:rPr>
                <w:sz w:val="18"/>
                <w:szCs w:val="18"/>
              </w:rPr>
            </w:pPr>
            <w:r>
              <w:rPr>
                <w:sz w:val="18"/>
                <w:szCs w:val="18"/>
              </w:rPr>
              <w:t xml:space="preserve">No change to execution venues. The list of execution venues can be found within the </w:t>
            </w:r>
            <w:hyperlink r:id="rId46" w:history="1">
              <w:r>
                <w:rPr>
                  <w:rStyle w:val="Hyperlink"/>
                  <w:sz w:val="18"/>
                  <w:szCs w:val="18"/>
                </w:rPr>
                <w:t>Disclosures</w:t>
              </w:r>
            </w:hyperlink>
            <w:r>
              <w:rPr>
                <w:sz w:val="18"/>
                <w:szCs w:val="18"/>
              </w:rPr>
              <w:t xml:space="preserve"> section of the Execution Policy -  </w:t>
            </w:r>
            <w:hyperlink r:id="rId47" w:history="1">
              <w:r w:rsidRPr="00FD2FC6">
                <w:rPr>
                  <w:rStyle w:val="Hyperlink"/>
                  <w:sz w:val="18"/>
                  <w:szCs w:val="18"/>
                </w:rPr>
                <w:t>Appendix 1 - List of Execution Venues</w:t>
              </w:r>
            </w:hyperlink>
            <w:r>
              <w:rPr>
                <w:sz w:val="18"/>
                <w:szCs w:val="18"/>
              </w:rPr>
              <w:t>. </w:t>
            </w:r>
          </w:p>
        </w:tc>
      </w:tr>
      <w:tr w:rsidR="006C4994" w:rsidRPr="00625958" w14:paraId="23AFC478" w14:textId="77777777" w:rsidTr="00117BA2">
        <w:trPr>
          <w:trHeight w:val="1136"/>
        </w:trPr>
        <w:tc>
          <w:tcPr>
            <w:tcW w:w="4410" w:type="dxa"/>
            <w:tcBorders>
              <w:left w:val="single" w:sz="12" w:space="0" w:color="auto"/>
            </w:tcBorders>
            <w:shd w:val="clear" w:color="auto" w:fill="D9D9D9" w:themeFill="background1" w:themeFillShade="D9"/>
          </w:tcPr>
          <w:p w14:paraId="613F7C45" w14:textId="77777777" w:rsidR="006C4994" w:rsidRPr="00625958" w:rsidRDefault="006C4994" w:rsidP="006C4994">
            <w:pPr>
              <w:rPr>
                <w:sz w:val="18"/>
                <w:szCs w:val="18"/>
              </w:rPr>
            </w:pPr>
            <w:r w:rsidRPr="00625958">
              <w:rPr>
                <w:sz w:val="18"/>
                <w:szCs w:val="18"/>
              </w:rPr>
              <w:t>Client distinctions</w:t>
            </w:r>
          </w:p>
        </w:tc>
        <w:tc>
          <w:tcPr>
            <w:tcW w:w="9990" w:type="dxa"/>
            <w:tcBorders>
              <w:right w:val="single" w:sz="12" w:space="0" w:color="auto"/>
            </w:tcBorders>
          </w:tcPr>
          <w:p w14:paraId="44321986" w14:textId="77777777" w:rsidR="006C4994" w:rsidRDefault="006C4994" w:rsidP="006C4994">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510A0671" w14:textId="77777777" w:rsidR="006C4994" w:rsidRDefault="006C4994" w:rsidP="006C4994">
            <w:pPr>
              <w:spacing w:after="120"/>
              <w:rPr>
                <w:sz w:val="18"/>
                <w:szCs w:val="18"/>
              </w:rPr>
            </w:pPr>
            <w:r>
              <w:rPr>
                <w:sz w:val="18"/>
                <w:szCs w:val="18"/>
              </w:rPr>
              <w:t xml:space="preserve">JPMSE CIB only deals with Professional Clients. </w:t>
            </w:r>
          </w:p>
          <w:p w14:paraId="5B8F4DFD" w14:textId="50FC7EF2" w:rsidR="006C4994" w:rsidRPr="006C4994" w:rsidRDefault="006C4994" w:rsidP="006C4994">
            <w:pPr>
              <w:rPr>
                <w:sz w:val="18"/>
                <w:szCs w:val="18"/>
              </w:rPr>
            </w:pPr>
            <w:r>
              <w:rPr>
                <w:sz w:val="18"/>
                <w:szCs w:val="18"/>
              </w:rPr>
              <w:t xml:space="preserve">However, JPMSE PB deals with both Professional and Retail Clients and its Best Execution disclosures can be found </w:t>
            </w:r>
            <w:hyperlink r:id="rId48" w:history="1">
              <w:r>
                <w:rPr>
                  <w:rStyle w:val="Hyperlink"/>
                  <w:sz w:val="18"/>
                  <w:szCs w:val="18"/>
                </w:rPr>
                <w:t>here</w:t>
              </w:r>
            </w:hyperlink>
            <w:r>
              <w:rPr>
                <w:sz w:val="18"/>
                <w:szCs w:val="18"/>
              </w:rPr>
              <w:t>.</w:t>
            </w:r>
          </w:p>
        </w:tc>
      </w:tr>
      <w:tr w:rsidR="006C4994" w:rsidRPr="00625958" w14:paraId="36CF5758" w14:textId="77777777" w:rsidTr="00117BA2">
        <w:trPr>
          <w:trHeight w:val="434"/>
        </w:trPr>
        <w:tc>
          <w:tcPr>
            <w:tcW w:w="4410" w:type="dxa"/>
            <w:tcBorders>
              <w:left w:val="single" w:sz="12" w:space="0" w:color="auto"/>
            </w:tcBorders>
            <w:shd w:val="clear" w:color="auto" w:fill="D9D9D9" w:themeFill="background1" w:themeFillShade="D9"/>
          </w:tcPr>
          <w:p w14:paraId="6F7C0C7C" w14:textId="286955E0" w:rsidR="006C4994" w:rsidRPr="00625958" w:rsidRDefault="006C4994" w:rsidP="006C4994">
            <w:pPr>
              <w:rPr>
                <w:sz w:val="18"/>
                <w:szCs w:val="18"/>
              </w:rPr>
            </w:pPr>
            <w:r>
              <w:rPr>
                <w:sz w:val="18"/>
                <w:szCs w:val="18"/>
              </w:rPr>
              <w:t>Retail client orders</w:t>
            </w:r>
          </w:p>
        </w:tc>
        <w:tc>
          <w:tcPr>
            <w:tcW w:w="9990" w:type="dxa"/>
            <w:tcBorders>
              <w:right w:val="single" w:sz="12" w:space="0" w:color="auto"/>
            </w:tcBorders>
          </w:tcPr>
          <w:p w14:paraId="5AB7EE12" w14:textId="23496E5E" w:rsidR="006C4994" w:rsidRPr="00BB0591" w:rsidRDefault="006C4994" w:rsidP="006C4994">
            <w:pPr>
              <w:rPr>
                <w:sz w:val="18"/>
                <w:szCs w:val="18"/>
                <w:highlight w:val="yellow"/>
              </w:rPr>
            </w:pPr>
            <w:r w:rsidRPr="00EC5BE7">
              <w:rPr>
                <w:sz w:val="18"/>
                <w:szCs w:val="18"/>
              </w:rPr>
              <w:t>See above</w:t>
            </w:r>
          </w:p>
          <w:p w14:paraId="04F7F06E" w14:textId="0653DFA8" w:rsidR="006C4994" w:rsidRPr="00BB0591" w:rsidRDefault="006C4994" w:rsidP="006C4994">
            <w:pPr>
              <w:spacing w:after="120"/>
              <w:rPr>
                <w:sz w:val="18"/>
                <w:szCs w:val="18"/>
                <w:highlight w:val="yellow"/>
              </w:rPr>
            </w:pPr>
          </w:p>
        </w:tc>
      </w:tr>
      <w:tr w:rsidR="006C4994" w:rsidRPr="00625958" w14:paraId="1A754E75" w14:textId="77777777" w:rsidTr="00117BA2">
        <w:trPr>
          <w:trHeight w:val="956"/>
        </w:trPr>
        <w:tc>
          <w:tcPr>
            <w:tcW w:w="4410" w:type="dxa"/>
            <w:tcBorders>
              <w:left w:val="single" w:sz="12" w:space="0" w:color="auto"/>
            </w:tcBorders>
            <w:shd w:val="clear" w:color="auto" w:fill="D9D9D9" w:themeFill="background1" w:themeFillShade="D9"/>
          </w:tcPr>
          <w:p w14:paraId="10108C73" w14:textId="77777777" w:rsidR="006C4994" w:rsidRDefault="006C4994" w:rsidP="006C4994">
            <w:pPr>
              <w:rPr>
                <w:sz w:val="18"/>
                <w:szCs w:val="18"/>
              </w:rPr>
            </w:pPr>
            <w:r w:rsidRPr="00625958">
              <w:rPr>
                <w:sz w:val="18"/>
                <w:szCs w:val="18"/>
              </w:rPr>
              <w:t>Use of data/tools relating to the quality of execution</w:t>
            </w:r>
          </w:p>
          <w:p w14:paraId="2E125690" w14:textId="77777777" w:rsidR="006C4994" w:rsidRDefault="006C4994" w:rsidP="006C4994">
            <w:pPr>
              <w:rPr>
                <w:sz w:val="18"/>
                <w:szCs w:val="18"/>
              </w:rPr>
            </w:pPr>
          </w:p>
          <w:p w14:paraId="2910F61A" w14:textId="65E8C675" w:rsidR="006C4994" w:rsidRPr="008828A3" w:rsidRDefault="006C4994" w:rsidP="006C4994">
            <w:pPr>
              <w:jc w:val="center"/>
              <w:rPr>
                <w:sz w:val="18"/>
                <w:szCs w:val="18"/>
              </w:rPr>
            </w:pPr>
          </w:p>
        </w:tc>
        <w:tc>
          <w:tcPr>
            <w:tcW w:w="9990" w:type="dxa"/>
            <w:tcBorders>
              <w:right w:val="single" w:sz="12" w:space="0" w:color="auto"/>
            </w:tcBorders>
          </w:tcPr>
          <w:p w14:paraId="0ABE1A5E" w14:textId="5B6C28F0" w:rsidR="006C4994" w:rsidRDefault="006C4994" w:rsidP="006C4994">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w:t>
            </w:r>
            <w:r>
              <w:rPr>
                <w:sz w:val="18"/>
                <w:szCs w:val="18"/>
              </w:rPr>
              <w:t xml:space="preserve">SE </w:t>
            </w:r>
            <w:r>
              <w:rPr>
                <w:color w:val="000000"/>
                <w:sz w:val="18"/>
                <w:szCs w:val="18"/>
              </w:rPr>
              <w:t>assessed the fairness of pricing of loans subject to Best Execution by comparing open loan fees and rebates to rates supplied by third party vendors.</w:t>
            </w:r>
          </w:p>
          <w:p w14:paraId="3A06303C" w14:textId="5F6B7486" w:rsidR="006C4994" w:rsidRPr="00625958" w:rsidRDefault="006C4994" w:rsidP="006C4994">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w:t>
            </w:r>
            <w:r>
              <w:rPr>
                <w:sz w:val="18"/>
                <w:szCs w:val="18"/>
              </w:rPr>
              <w:t xml:space="preserve"> SE</w:t>
            </w:r>
            <w:r w:rsidRPr="00625958">
              <w:rPr>
                <w:sz w:val="18"/>
                <w:szCs w:val="18"/>
              </w:rPr>
              <w:t xml:space="preserve"> </w:t>
            </w:r>
            <w:r>
              <w:rPr>
                <w:sz w:val="18"/>
                <w:szCs w:val="18"/>
              </w:rPr>
              <w:t>assessed the fairness of pricing of transactions subject to Best Execution by evaluating Term investment executions against different external reference prices.</w:t>
            </w:r>
          </w:p>
        </w:tc>
      </w:tr>
      <w:tr w:rsidR="006C4994" w:rsidRPr="00625958" w14:paraId="20F7E73B" w14:textId="77777777" w:rsidTr="00117BA2">
        <w:trPr>
          <w:trHeight w:val="569"/>
        </w:trPr>
        <w:tc>
          <w:tcPr>
            <w:tcW w:w="4410" w:type="dxa"/>
            <w:tcBorders>
              <w:left w:val="single" w:sz="12" w:space="0" w:color="auto"/>
              <w:bottom w:val="single" w:sz="12" w:space="0" w:color="auto"/>
            </w:tcBorders>
            <w:shd w:val="clear" w:color="auto" w:fill="D9D9D9" w:themeFill="background1" w:themeFillShade="D9"/>
          </w:tcPr>
          <w:p w14:paraId="6015275F" w14:textId="03613807" w:rsidR="006C4994" w:rsidRPr="00625958" w:rsidRDefault="006C4994" w:rsidP="006C4994">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43AF1FE3" w14:textId="5FF101F7" w:rsidR="006C4994" w:rsidRDefault="006C4994" w:rsidP="006C4994">
            <w:pPr>
              <w:rPr>
                <w:sz w:val="18"/>
                <w:szCs w:val="18"/>
              </w:rPr>
            </w:pPr>
            <w:r>
              <w:rPr>
                <w:sz w:val="18"/>
                <w:szCs w:val="18"/>
              </w:rPr>
              <w:t xml:space="preserve"> J.P. Morgan SE did not use consolidated tape provider output or other algorithms to assess execution performances for the year of 2022.</w:t>
            </w:r>
          </w:p>
          <w:p w14:paraId="269443C0" w14:textId="77777777" w:rsidR="006C4994" w:rsidRDefault="006C4994" w:rsidP="006C4994">
            <w:pPr>
              <w:rPr>
                <w:color w:val="000000"/>
                <w:sz w:val="18"/>
                <w:szCs w:val="18"/>
                <w:u w:val="single"/>
              </w:rPr>
            </w:pPr>
          </w:p>
        </w:tc>
      </w:tr>
    </w:tbl>
    <w:p w14:paraId="6ECAC265" w14:textId="0E34625E" w:rsidR="00C05144" w:rsidRPr="00625958" w:rsidRDefault="00C05144"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1B1C1A4A"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3909DB7" w14:textId="77777777" w:rsidR="00C05144" w:rsidRPr="00625958" w:rsidRDefault="00C05144" w:rsidP="00325EB9">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0DFF6D98" w14:textId="3C57CC07" w:rsidR="00C05144" w:rsidRPr="00625958" w:rsidRDefault="00C05144" w:rsidP="00325EB9">
            <w:pPr>
              <w:rPr>
                <w:sz w:val="18"/>
                <w:szCs w:val="18"/>
              </w:rPr>
            </w:pPr>
            <w:r w:rsidRPr="00625958">
              <w:rPr>
                <w:sz w:val="18"/>
                <w:szCs w:val="18"/>
              </w:rPr>
              <w:t xml:space="preserve">J.P. Morgan </w:t>
            </w:r>
            <w:r w:rsidR="00697692">
              <w:rPr>
                <w:sz w:val="18"/>
                <w:szCs w:val="18"/>
              </w:rPr>
              <w:t xml:space="preserve">SE </w:t>
            </w:r>
            <w:r w:rsidRPr="00625958">
              <w:rPr>
                <w:sz w:val="18"/>
                <w:szCs w:val="18"/>
              </w:rPr>
              <w:t>(</w:t>
            </w:r>
            <w:r w:rsidR="00697692" w:rsidRPr="001B5F42">
              <w:rPr>
                <w:sz w:val="18"/>
                <w:szCs w:val="18"/>
              </w:rPr>
              <w:t>549300ZK53CNGEEI6A</w:t>
            </w:r>
            <w:proofErr w:type="gramStart"/>
            <w:r w:rsidR="00697692" w:rsidRPr="001B5F42">
              <w:rPr>
                <w:sz w:val="18"/>
                <w:szCs w:val="18"/>
              </w:rPr>
              <w:t>29</w:t>
            </w:r>
            <w:r w:rsidRPr="00625958">
              <w:rPr>
                <w:sz w:val="18"/>
                <w:szCs w:val="18"/>
              </w:rPr>
              <w:t>)</w:t>
            </w:r>
            <w:r w:rsidR="00BB0591">
              <w:rPr>
                <w:sz w:val="18"/>
                <w:szCs w:val="18"/>
              </w:rPr>
              <w:t>*</w:t>
            </w:r>
            <w:proofErr w:type="gramEnd"/>
          </w:p>
        </w:tc>
      </w:tr>
      <w:tr w:rsidR="00C05144" w:rsidRPr="00625958" w14:paraId="030E3FED"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02959F5"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D6CD402" w14:textId="30D5E4EB" w:rsidR="00C05144" w:rsidRPr="00625958" w:rsidRDefault="00C05144" w:rsidP="00325EB9">
            <w:pPr>
              <w:rPr>
                <w:color w:val="000000"/>
                <w:sz w:val="18"/>
                <w:szCs w:val="18"/>
              </w:rPr>
            </w:pPr>
            <w:r w:rsidRPr="00625958">
              <w:rPr>
                <w:color w:val="000000"/>
                <w:sz w:val="18"/>
                <w:szCs w:val="18"/>
              </w:rPr>
              <w:t>Equities - Shar</w:t>
            </w:r>
            <w:r w:rsidR="00ED0764" w:rsidRPr="00625958">
              <w:rPr>
                <w:color w:val="000000"/>
                <w:sz w:val="18"/>
                <w:szCs w:val="18"/>
              </w:rPr>
              <w:t xml:space="preserve">es &amp; Depositary Receipts: Tick </w:t>
            </w:r>
            <w:r w:rsidR="00854169">
              <w:rPr>
                <w:color w:val="000000"/>
                <w:sz w:val="18"/>
                <w:szCs w:val="18"/>
              </w:rPr>
              <w:t>si</w:t>
            </w:r>
            <w:r w:rsidR="00ED0764" w:rsidRPr="00625958">
              <w:rPr>
                <w:color w:val="000000"/>
                <w:sz w:val="18"/>
                <w:szCs w:val="18"/>
              </w:rPr>
              <w:t xml:space="preserve">ze </w:t>
            </w:r>
            <w:r w:rsidR="00854169">
              <w:rPr>
                <w:color w:val="000000"/>
                <w:sz w:val="18"/>
                <w:szCs w:val="18"/>
              </w:rPr>
              <w:t>li</w:t>
            </w:r>
            <w:r w:rsidR="00ED0764" w:rsidRPr="00625958">
              <w:rPr>
                <w:color w:val="000000"/>
                <w:sz w:val="18"/>
                <w:szCs w:val="18"/>
              </w:rPr>
              <w:t xml:space="preserve">quidity </w:t>
            </w:r>
            <w:r w:rsidR="00854169">
              <w:rPr>
                <w:color w:val="000000"/>
                <w:sz w:val="18"/>
                <w:szCs w:val="18"/>
              </w:rPr>
              <w:t>b</w:t>
            </w:r>
            <w:r w:rsidRPr="00625958">
              <w:rPr>
                <w:color w:val="000000"/>
                <w:sz w:val="18"/>
                <w:szCs w:val="18"/>
              </w:rPr>
              <w:t xml:space="preserve">ands 3 </w:t>
            </w:r>
            <w:r w:rsidR="00854169">
              <w:rPr>
                <w:color w:val="000000"/>
                <w:sz w:val="18"/>
                <w:szCs w:val="18"/>
              </w:rPr>
              <w:t>a</w:t>
            </w:r>
            <w:r w:rsidRPr="00625958">
              <w:rPr>
                <w:color w:val="000000"/>
                <w:sz w:val="18"/>
                <w:szCs w:val="18"/>
              </w:rPr>
              <w:t xml:space="preserve">nd 4 </w:t>
            </w:r>
            <w:r w:rsidR="00ED0764" w:rsidRPr="00625958">
              <w:rPr>
                <w:color w:val="000000"/>
                <w:sz w:val="18"/>
                <w:szCs w:val="18"/>
              </w:rPr>
              <w:t>(from 80 to 1999 trades per d</w:t>
            </w:r>
            <w:r w:rsidRPr="00625958">
              <w:rPr>
                <w:color w:val="000000"/>
                <w:sz w:val="18"/>
                <w:szCs w:val="18"/>
              </w:rPr>
              <w:t>ay)</w:t>
            </w:r>
          </w:p>
        </w:tc>
      </w:tr>
      <w:tr w:rsidR="00C05144" w:rsidRPr="00625958" w14:paraId="0CF3E891"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4B7097D" w14:textId="77777777" w:rsidR="00C05144" w:rsidRPr="00625958" w:rsidRDefault="00C05144" w:rsidP="00325EB9">
            <w:pPr>
              <w:jc w:val="center"/>
              <w:rPr>
                <w:sz w:val="18"/>
                <w:szCs w:val="18"/>
              </w:rPr>
            </w:pPr>
            <w:r w:rsidRPr="00625958">
              <w:rPr>
                <w:sz w:val="18"/>
                <w:szCs w:val="18"/>
              </w:rPr>
              <w:t>Summary of Analysis</w:t>
            </w:r>
          </w:p>
        </w:tc>
      </w:tr>
      <w:tr w:rsidR="00D275E0" w:rsidRPr="00625958" w14:paraId="1EBE1AAD" w14:textId="77777777" w:rsidTr="00325EB9">
        <w:tc>
          <w:tcPr>
            <w:tcW w:w="14400" w:type="dxa"/>
            <w:gridSpan w:val="2"/>
            <w:tcBorders>
              <w:left w:val="single" w:sz="12" w:space="0" w:color="auto"/>
              <w:right w:val="single" w:sz="12" w:space="0" w:color="auto"/>
            </w:tcBorders>
          </w:tcPr>
          <w:p w14:paraId="291CA0DC" w14:textId="1D7A6F4D" w:rsidR="00FE56F6" w:rsidRPr="00625958" w:rsidRDefault="00FE56F6" w:rsidP="00FE56F6">
            <w:pPr>
              <w:spacing w:after="200"/>
              <w:contextualSpacing/>
              <w:rPr>
                <w:b/>
                <w:color w:val="000000" w:themeColor="text1"/>
                <w:sz w:val="18"/>
                <w:szCs w:val="18"/>
                <w:u w:val="single"/>
              </w:rPr>
            </w:pPr>
            <w:r w:rsidRPr="00625958">
              <w:rPr>
                <w:b/>
                <w:color w:val="000000" w:themeColor="text1"/>
                <w:sz w:val="18"/>
                <w:szCs w:val="18"/>
                <w:u w:val="single"/>
              </w:rPr>
              <w:t>J.P. Morgan</w:t>
            </w:r>
            <w:r w:rsidR="00697692">
              <w:rPr>
                <w:b/>
                <w:color w:val="000000" w:themeColor="text1"/>
                <w:sz w:val="18"/>
                <w:szCs w:val="18"/>
                <w:u w:val="single"/>
              </w:rPr>
              <w:t xml:space="preserve"> SE</w:t>
            </w:r>
            <w:r w:rsidRPr="00625958">
              <w:rPr>
                <w:b/>
                <w:color w:val="000000" w:themeColor="text1"/>
                <w:sz w:val="18"/>
                <w:szCs w:val="18"/>
                <w:u w:val="single"/>
              </w:rPr>
              <w:t xml:space="preserve">: </w:t>
            </w:r>
            <w:r>
              <w:rPr>
                <w:b/>
                <w:color w:val="000000" w:themeColor="text1"/>
                <w:sz w:val="18"/>
                <w:szCs w:val="18"/>
                <w:u w:val="single"/>
              </w:rPr>
              <w:t xml:space="preserve">Agency Securities </w:t>
            </w:r>
            <w:r w:rsidR="00C9488A">
              <w:rPr>
                <w:b/>
                <w:color w:val="000000" w:themeColor="text1"/>
                <w:sz w:val="18"/>
                <w:szCs w:val="18"/>
                <w:u w:val="single"/>
              </w:rPr>
              <w:t>Finance</w:t>
            </w:r>
            <w:r>
              <w:rPr>
                <w:b/>
                <w:color w:val="000000" w:themeColor="text1"/>
                <w:sz w:val="18"/>
                <w:szCs w:val="18"/>
                <w:u w:val="single"/>
              </w:rPr>
              <w:t xml:space="preserve">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00C9488A">
              <w:rPr>
                <w:b/>
                <w:color w:val="000000" w:themeColor="text1"/>
                <w:sz w:val="18"/>
                <w:szCs w:val="18"/>
                <w:u w:val="single"/>
              </w:rPr>
              <w:t>Finance</w:t>
            </w:r>
            <w:r w:rsidRPr="00625958">
              <w:rPr>
                <w:b/>
                <w:color w:val="000000" w:themeColor="text1"/>
                <w:sz w:val="18"/>
                <w:szCs w:val="18"/>
                <w:u w:val="single"/>
              </w:rPr>
              <w:t>”):</w:t>
            </w:r>
          </w:p>
          <w:p w14:paraId="07B4408A" w14:textId="77777777" w:rsidR="00FE56F6" w:rsidRDefault="00FE56F6" w:rsidP="00D275E0">
            <w:pPr>
              <w:jc w:val="both"/>
              <w:rPr>
                <w:sz w:val="18"/>
                <w:szCs w:val="18"/>
              </w:rPr>
            </w:pPr>
          </w:p>
          <w:p w14:paraId="17AB0AD6" w14:textId="68BD5E8A" w:rsidR="00D275E0" w:rsidRDefault="00EB4EBA" w:rsidP="00D275E0">
            <w:pPr>
              <w:jc w:val="both"/>
              <w:rPr>
                <w:sz w:val="18"/>
                <w:szCs w:val="18"/>
              </w:rPr>
            </w:pPr>
            <w:r w:rsidRPr="00D275E0">
              <w:rPr>
                <w:sz w:val="18"/>
                <w:szCs w:val="18"/>
              </w:rPr>
              <w:t>For the year of 202</w:t>
            </w:r>
            <w:r w:rsidR="007641E2">
              <w:rPr>
                <w:sz w:val="18"/>
                <w:szCs w:val="18"/>
              </w:rPr>
              <w:t>2</w:t>
            </w:r>
            <w:r>
              <w:rPr>
                <w:sz w:val="18"/>
                <w:szCs w:val="18"/>
              </w:rPr>
              <w:t>,</w:t>
            </w:r>
            <w:r w:rsidRPr="00D275E0">
              <w:rPr>
                <w:sz w:val="18"/>
                <w:szCs w:val="18"/>
              </w:rPr>
              <w:t xml:space="preserve"> J.P. Morgan </w:t>
            </w:r>
            <w:r w:rsidR="00697692">
              <w:rPr>
                <w:sz w:val="18"/>
                <w:szCs w:val="18"/>
              </w:rPr>
              <w:t xml:space="preserve">SE </w:t>
            </w:r>
            <w:r w:rsidRPr="00D275E0">
              <w:rPr>
                <w:sz w:val="18"/>
                <w:szCs w:val="18"/>
              </w:rPr>
              <w:t xml:space="preserve">Agency Securities </w:t>
            </w:r>
            <w:r w:rsidR="00C9488A">
              <w:rPr>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30935203" w14:textId="44F8CBB0" w:rsidR="00323ABC" w:rsidRPr="00625958" w:rsidRDefault="00323ABC" w:rsidP="00D275E0">
            <w:pPr>
              <w:jc w:val="both"/>
              <w:rPr>
                <w:sz w:val="18"/>
                <w:szCs w:val="18"/>
              </w:rPr>
            </w:pPr>
          </w:p>
        </w:tc>
      </w:tr>
      <w:tr w:rsidR="000D0200" w:rsidRPr="00625958" w14:paraId="24DF4877" w14:textId="77777777" w:rsidTr="00325EB9">
        <w:tc>
          <w:tcPr>
            <w:tcW w:w="4410" w:type="dxa"/>
            <w:tcBorders>
              <w:left w:val="single" w:sz="12" w:space="0" w:color="auto"/>
            </w:tcBorders>
            <w:shd w:val="clear" w:color="auto" w:fill="D9D9D9" w:themeFill="background1" w:themeFillShade="D9"/>
          </w:tcPr>
          <w:p w14:paraId="7E1233AA" w14:textId="77777777" w:rsidR="000D0200" w:rsidRPr="00625958" w:rsidRDefault="000D0200" w:rsidP="000D020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1B54F247" w14:textId="43E0BA1C" w:rsidR="000D0200" w:rsidRPr="00625958" w:rsidRDefault="004329CB" w:rsidP="000D0200">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49" w:history="1">
              <w:r w:rsidRPr="00293674">
                <w:rPr>
                  <w:rStyle w:val="Hyperlink"/>
                  <w:sz w:val="18"/>
                  <w:szCs w:val="18"/>
                </w:rPr>
                <w:t>J.P. Morgan EMEA Securities Services: Execution Policy Appendix 4</w:t>
              </w:r>
            </w:hyperlink>
            <w:r>
              <w:rPr>
                <w:sz w:val="18"/>
                <w:szCs w:val="18"/>
              </w:rPr>
              <w:t xml:space="preserve">.  In this policy, page 7 details the considerations for the key execution factors and page 11 details the factors affecting Agency Securities </w:t>
            </w:r>
            <w:r w:rsidRPr="00293674">
              <w:rPr>
                <w:sz w:val="18"/>
                <w:szCs w:val="18"/>
              </w:rPr>
              <w:t>Finance’s</w:t>
            </w:r>
            <w:r>
              <w:rPr>
                <w:sz w:val="18"/>
                <w:szCs w:val="18"/>
              </w:rPr>
              <w:t xml:space="preserve"> choice of execution venues. </w:t>
            </w:r>
          </w:p>
        </w:tc>
      </w:tr>
      <w:tr w:rsidR="00C05144" w:rsidRPr="00625958" w14:paraId="4D4C1E75" w14:textId="77777777" w:rsidTr="00325EB9">
        <w:trPr>
          <w:trHeight w:val="485"/>
        </w:trPr>
        <w:tc>
          <w:tcPr>
            <w:tcW w:w="4410" w:type="dxa"/>
            <w:tcBorders>
              <w:left w:val="single" w:sz="12" w:space="0" w:color="auto"/>
            </w:tcBorders>
            <w:shd w:val="clear" w:color="auto" w:fill="D9D9D9" w:themeFill="background1" w:themeFillShade="D9"/>
          </w:tcPr>
          <w:p w14:paraId="24EBB953"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550D2453" w14:textId="1F50A62E" w:rsidR="004F5D32" w:rsidRDefault="004F5D32" w:rsidP="004F5D32">
            <w:pPr>
              <w:rPr>
                <w:sz w:val="18"/>
                <w:szCs w:val="18"/>
              </w:rPr>
            </w:pPr>
            <w:r>
              <w:rPr>
                <w:sz w:val="18"/>
                <w:szCs w:val="18"/>
              </w:rPr>
              <w:t>J.P. Morgan</w:t>
            </w:r>
            <w:r w:rsidR="00697692">
              <w:rPr>
                <w:sz w:val="18"/>
                <w:szCs w:val="18"/>
              </w:rPr>
              <w:t xml:space="preserve"> </w:t>
            </w:r>
            <w:proofErr w:type="gramStart"/>
            <w:r w:rsidR="00697692">
              <w:rPr>
                <w:sz w:val="18"/>
                <w:szCs w:val="18"/>
              </w:rPr>
              <w:t>SE</w:t>
            </w:r>
            <w:r>
              <w:rPr>
                <w:sz w:val="18"/>
                <w:szCs w:val="18"/>
              </w:rPr>
              <w:t xml:space="preserve"> ,</w:t>
            </w:r>
            <w:proofErr w:type="gramEnd"/>
            <w:r>
              <w:rPr>
                <w:sz w:val="18"/>
                <w:szCs w:val="18"/>
              </w:rPr>
              <w:t xml:space="preserve"> is a fully owned subsidiary of JPMorgan Chase &amp; Co.</w:t>
            </w:r>
          </w:p>
          <w:p w14:paraId="34515092" w14:textId="6C012703" w:rsidR="00697692" w:rsidRPr="00293674" w:rsidRDefault="00697692" w:rsidP="004F5D32">
            <w:pPr>
              <w:rPr>
                <w:sz w:val="18"/>
                <w:szCs w:val="18"/>
              </w:rPr>
            </w:pPr>
            <w:r w:rsidRPr="00683402">
              <w:rPr>
                <w:bCs/>
                <w:color w:val="000000" w:themeColor="text1"/>
                <w:sz w:val="18"/>
                <w:szCs w:val="18"/>
              </w:rPr>
              <w:t>J.P. Morgan</w:t>
            </w:r>
            <w:r>
              <w:rPr>
                <w:bCs/>
                <w:color w:val="000000" w:themeColor="text1"/>
                <w:sz w:val="18"/>
                <w:szCs w:val="18"/>
              </w:rPr>
              <w:t xml:space="preserve"> SE</w:t>
            </w:r>
            <w:r w:rsidRPr="00683402">
              <w:rPr>
                <w:bCs/>
                <w:color w:val="000000" w:themeColor="text1"/>
                <w:sz w:val="18"/>
                <w:szCs w:val="18"/>
              </w:rPr>
              <w:t xml:space="preserve"> did not have any execution venue close links, conflicts of interest or common ownerships for the year of 202</w:t>
            </w:r>
            <w:r>
              <w:rPr>
                <w:bCs/>
                <w:color w:val="000000" w:themeColor="text1"/>
                <w:sz w:val="18"/>
                <w:szCs w:val="18"/>
              </w:rPr>
              <w:t>2</w:t>
            </w:r>
          </w:p>
          <w:p w14:paraId="3E047D6A" w14:textId="206B72F6" w:rsidR="002F2FB9" w:rsidRPr="00625958" w:rsidRDefault="002F2FB9" w:rsidP="008B2CEE">
            <w:pPr>
              <w:rPr>
                <w:sz w:val="18"/>
                <w:szCs w:val="18"/>
              </w:rPr>
            </w:pPr>
          </w:p>
        </w:tc>
      </w:tr>
      <w:tr w:rsidR="00BD4745" w:rsidRPr="00625958" w14:paraId="20DC63A9" w14:textId="77777777" w:rsidTr="00325EB9">
        <w:tc>
          <w:tcPr>
            <w:tcW w:w="4410" w:type="dxa"/>
            <w:tcBorders>
              <w:left w:val="single" w:sz="12" w:space="0" w:color="auto"/>
            </w:tcBorders>
            <w:shd w:val="clear" w:color="auto" w:fill="D9D9D9" w:themeFill="background1" w:themeFillShade="D9"/>
          </w:tcPr>
          <w:p w14:paraId="7C393BE7" w14:textId="77777777" w:rsidR="00BD4745" w:rsidRPr="00625958" w:rsidRDefault="00BD4745" w:rsidP="00BD4745">
            <w:pPr>
              <w:rPr>
                <w:sz w:val="18"/>
                <w:szCs w:val="18"/>
              </w:rPr>
            </w:pPr>
            <w:r w:rsidRPr="00625958">
              <w:rPr>
                <w:sz w:val="18"/>
                <w:szCs w:val="18"/>
              </w:rPr>
              <w:t>Specific execution venue arrangements</w:t>
            </w:r>
          </w:p>
        </w:tc>
        <w:tc>
          <w:tcPr>
            <w:tcW w:w="9990" w:type="dxa"/>
            <w:tcBorders>
              <w:right w:val="single" w:sz="12" w:space="0" w:color="auto"/>
            </w:tcBorders>
          </w:tcPr>
          <w:p w14:paraId="75A533D5" w14:textId="7403FCAA" w:rsidR="003907BC" w:rsidRDefault="00571887" w:rsidP="003907BC">
            <w:pPr>
              <w:rPr>
                <w:sz w:val="18"/>
                <w:szCs w:val="18"/>
              </w:rPr>
            </w:pPr>
            <w:r>
              <w:rPr>
                <w:iCs/>
                <w:sz w:val="18"/>
                <w:szCs w:val="18"/>
              </w:rPr>
              <w:t>J.P. Morgan SE did not have any specific execution venue arrangements for the year of 2022</w:t>
            </w:r>
          </w:p>
          <w:p w14:paraId="5936A81E" w14:textId="2521EFCA" w:rsidR="002F2FB9" w:rsidRPr="00625958" w:rsidRDefault="002F2FB9" w:rsidP="003907BC">
            <w:pPr>
              <w:rPr>
                <w:sz w:val="18"/>
                <w:szCs w:val="18"/>
              </w:rPr>
            </w:pPr>
          </w:p>
        </w:tc>
      </w:tr>
      <w:tr w:rsidR="00055F5C" w:rsidRPr="00625958" w14:paraId="3E75FF33" w14:textId="77777777" w:rsidTr="00325EB9">
        <w:trPr>
          <w:trHeight w:val="368"/>
        </w:trPr>
        <w:tc>
          <w:tcPr>
            <w:tcW w:w="4410" w:type="dxa"/>
            <w:tcBorders>
              <w:left w:val="single" w:sz="12" w:space="0" w:color="auto"/>
            </w:tcBorders>
            <w:shd w:val="clear" w:color="auto" w:fill="D9D9D9" w:themeFill="background1" w:themeFillShade="D9"/>
          </w:tcPr>
          <w:p w14:paraId="41E81F4A" w14:textId="77777777" w:rsidR="00055F5C" w:rsidRPr="00625958" w:rsidRDefault="00055F5C" w:rsidP="00055F5C">
            <w:pPr>
              <w:rPr>
                <w:sz w:val="18"/>
                <w:szCs w:val="18"/>
              </w:rPr>
            </w:pPr>
            <w:r w:rsidRPr="00625958">
              <w:rPr>
                <w:sz w:val="18"/>
                <w:szCs w:val="18"/>
              </w:rPr>
              <w:t>Changes to execution venues</w:t>
            </w:r>
          </w:p>
        </w:tc>
        <w:tc>
          <w:tcPr>
            <w:tcW w:w="9990" w:type="dxa"/>
            <w:tcBorders>
              <w:right w:val="single" w:sz="12" w:space="0" w:color="auto"/>
            </w:tcBorders>
          </w:tcPr>
          <w:p w14:paraId="01052C02" w14:textId="74EABEF0" w:rsidR="00055F5C" w:rsidRPr="00625958" w:rsidRDefault="00055F5C" w:rsidP="00055F5C">
            <w:pPr>
              <w:spacing w:after="120"/>
              <w:rPr>
                <w:sz w:val="18"/>
                <w:szCs w:val="18"/>
              </w:rPr>
            </w:pPr>
            <w:r>
              <w:rPr>
                <w:sz w:val="18"/>
                <w:szCs w:val="18"/>
              </w:rPr>
              <w:t xml:space="preserve">No change to execution venues. The list of execution venues can be found within the </w:t>
            </w:r>
            <w:hyperlink r:id="rId50" w:history="1">
              <w:r>
                <w:rPr>
                  <w:rStyle w:val="Hyperlink"/>
                  <w:sz w:val="18"/>
                  <w:szCs w:val="18"/>
                </w:rPr>
                <w:t>Disclosures</w:t>
              </w:r>
            </w:hyperlink>
            <w:r>
              <w:rPr>
                <w:sz w:val="18"/>
                <w:szCs w:val="18"/>
              </w:rPr>
              <w:t xml:space="preserve"> section of the Execution Policy -  </w:t>
            </w:r>
            <w:hyperlink r:id="rId51" w:history="1">
              <w:r w:rsidRPr="00FD2FC6">
                <w:rPr>
                  <w:rStyle w:val="Hyperlink"/>
                  <w:sz w:val="18"/>
                  <w:szCs w:val="18"/>
                </w:rPr>
                <w:t>Appendix 1 - List of Execution Venues</w:t>
              </w:r>
            </w:hyperlink>
            <w:r>
              <w:rPr>
                <w:sz w:val="18"/>
                <w:szCs w:val="18"/>
              </w:rPr>
              <w:t xml:space="preserve">.  </w:t>
            </w:r>
          </w:p>
        </w:tc>
      </w:tr>
      <w:tr w:rsidR="006C4994" w:rsidRPr="00625958" w14:paraId="10041CF1" w14:textId="77777777" w:rsidTr="00427002">
        <w:trPr>
          <w:trHeight w:val="1343"/>
        </w:trPr>
        <w:tc>
          <w:tcPr>
            <w:tcW w:w="4410" w:type="dxa"/>
            <w:tcBorders>
              <w:left w:val="single" w:sz="12" w:space="0" w:color="auto"/>
            </w:tcBorders>
            <w:shd w:val="clear" w:color="auto" w:fill="D9D9D9" w:themeFill="background1" w:themeFillShade="D9"/>
          </w:tcPr>
          <w:p w14:paraId="4FCC2364" w14:textId="77777777" w:rsidR="006C4994" w:rsidRPr="00625958" w:rsidRDefault="006C4994" w:rsidP="006C4994">
            <w:pPr>
              <w:rPr>
                <w:sz w:val="18"/>
                <w:szCs w:val="18"/>
              </w:rPr>
            </w:pPr>
            <w:r w:rsidRPr="00625958">
              <w:rPr>
                <w:sz w:val="18"/>
                <w:szCs w:val="18"/>
              </w:rPr>
              <w:t>Client distinctions</w:t>
            </w:r>
          </w:p>
        </w:tc>
        <w:tc>
          <w:tcPr>
            <w:tcW w:w="9990" w:type="dxa"/>
            <w:tcBorders>
              <w:right w:val="single" w:sz="12" w:space="0" w:color="auto"/>
            </w:tcBorders>
          </w:tcPr>
          <w:p w14:paraId="6AF70E14" w14:textId="77777777" w:rsidR="006C4994" w:rsidRDefault="006C4994" w:rsidP="006C4994">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22E40835" w14:textId="77777777" w:rsidR="006C4994" w:rsidRDefault="006C4994" w:rsidP="006C4994">
            <w:pPr>
              <w:spacing w:after="120"/>
              <w:rPr>
                <w:sz w:val="18"/>
                <w:szCs w:val="18"/>
              </w:rPr>
            </w:pPr>
            <w:r>
              <w:rPr>
                <w:sz w:val="18"/>
                <w:szCs w:val="18"/>
              </w:rPr>
              <w:t xml:space="preserve">JPMSE CIB only deals with Professional Clients. </w:t>
            </w:r>
          </w:p>
          <w:p w14:paraId="65768CCA" w14:textId="34A5BAE8" w:rsidR="006C4994" w:rsidRPr="00427002" w:rsidRDefault="006C4994" w:rsidP="00427002">
            <w:pPr>
              <w:rPr>
                <w:sz w:val="18"/>
                <w:szCs w:val="18"/>
              </w:rPr>
            </w:pPr>
            <w:r>
              <w:rPr>
                <w:sz w:val="18"/>
                <w:szCs w:val="18"/>
              </w:rPr>
              <w:t xml:space="preserve">However, JPMSE PB deals with both Professional and Retail Clients and its Best Execution disclosures can be found </w:t>
            </w:r>
            <w:hyperlink r:id="rId52" w:history="1">
              <w:r>
                <w:rPr>
                  <w:rStyle w:val="Hyperlink"/>
                  <w:sz w:val="18"/>
                  <w:szCs w:val="18"/>
                </w:rPr>
                <w:t>here</w:t>
              </w:r>
            </w:hyperlink>
            <w:r>
              <w:rPr>
                <w:sz w:val="18"/>
                <w:szCs w:val="18"/>
              </w:rPr>
              <w:t>.</w:t>
            </w:r>
          </w:p>
        </w:tc>
      </w:tr>
      <w:tr w:rsidR="006C4994" w:rsidRPr="00625958" w14:paraId="2659B0A2" w14:textId="77777777" w:rsidTr="00427002">
        <w:trPr>
          <w:trHeight w:val="425"/>
        </w:trPr>
        <w:tc>
          <w:tcPr>
            <w:tcW w:w="4410" w:type="dxa"/>
            <w:tcBorders>
              <w:left w:val="single" w:sz="12" w:space="0" w:color="auto"/>
            </w:tcBorders>
            <w:shd w:val="clear" w:color="auto" w:fill="D9D9D9" w:themeFill="background1" w:themeFillShade="D9"/>
          </w:tcPr>
          <w:p w14:paraId="15C3E243" w14:textId="1D6AFC57" w:rsidR="006C4994" w:rsidRPr="00625958" w:rsidRDefault="006C4994" w:rsidP="006C4994">
            <w:pPr>
              <w:rPr>
                <w:sz w:val="18"/>
                <w:szCs w:val="18"/>
              </w:rPr>
            </w:pPr>
            <w:r>
              <w:rPr>
                <w:sz w:val="18"/>
                <w:szCs w:val="18"/>
              </w:rPr>
              <w:t>Retail client orders</w:t>
            </w:r>
          </w:p>
        </w:tc>
        <w:tc>
          <w:tcPr>
            <w:tcW w:w="9990" w:type="dxa"/>
            <w:tcBorders>
              <w:right w:val="single" w:sz="12" w:space="0" w:color="auto"/>
            </w:tcBorders>
          </w:tcPr>
          <w:p w14:paraId="367D07E9" w14:textId="0F8C253E" w:rsidR="006C4994" w:rsidRPr="00EC5BE7" w:rsidRDefault="006C4994" w:rsidP="006C4994">
            <w:pPr>
              <w:rPr>
                <w:sz w:val="18"/>
                <w:szCs w:val="18"/>
              </w:rPr>
            </w:pPr>
            <w:r w:rsidRPr="00EC5BE7">
              <w:rPr>
                <w:sz w:val="18"/>
                <w:szCs w:val="18"/>
              </w:rPr>
              <w:t>See above</w:t>
            </w:r>
          </w:p>
          <w:p w14:paraId="16CBDFE9" w14:textId="375AEE84" w:rsidR="006C4994" w:rsidRPr="007253C8" w:rsidRDefault="006C4994" w:rsidP="006C4994">
            <w:pPr>
              <w:spacing w:after="120"/>
              <w:rPr>
                <w:sz w:val="18"/>
                <w:szCs w:val="18"/>
                <w:highlight w:val="yellow"/>
              </w:rPr>
            </w:pPr>
          </w:p>
        </w:tc>
      </w:tr>
      <w:tr w:rsidR="006C4994" w:rsidRPr="00625958" w14:paraId="4AA5A6F5" w14:textId="77777777" w:rsidTr="00325EB9">
        <w:tc>
          <w:tcPr>
            <w:tcW w:w="4410" w:type="dxa"/>
            <w:tcBorders>
              <w:left w:val="single" w:sz="12" w:space="0" w:color="auto"/>
            </w:tcBorders>
            <w:shd w:val="clear" w:color="auto" w:fill="D9D9D9" w:themeFill="background1" w:themeFillShade="D9"/>
          </w:tcPr>
          <w:p w14:paraId="08D71130" w14:textId="77777777" w:rsidR="006C4994" w:rsidRPr="00625958" w:rsidRDefault="006C4994" w:rsidP="006C4994">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124E24A2" w14:textId="6829C25D" w:rsidR="006C4994" w:rsidRDefault="006C4994" w:rsidP="006C4994">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w:t>
            </w:r>
            <w:r>
              <w:rPr>
                <w:sz w:val="18"/>
                <w:szCs w:val="18"/>
              </w:rPr>
              <w:t xml:space="preserve">SE </w:t>
            </w:r>
            <w:r>
              <w:rPr>
                <w:color w:val="000000"/>
                <w:sz w:val="18"/>
                <w:szCs w:val="18"/>
              </w:rPr>
              <w:t>assessed the fairness of pricing of loans subject to Best Execution by comparing open loan fees and rebates to rates supplied by third party vendors.</w:t>
            </w:r>
          </w:p>
          <w:p w14:paraId="3DBB046D" w14:textId="251257DB" w:rsidR="006C4994" w:rsidRPr="00625958" w:rsidRDefault="006C4994" w:rsidP="006C4994">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w:t>
            </w:r>
            <w:r>
              <w:rPr>
                <w:sz w:val="18"/>
                <w:szCs w:val="18"/>
              </w:rPr>
              <w:t>SE assessed the fairness of pricing of transactions subject to Best Execution by evaluating Term investment executions against different external reference prices.</w:t>
            </w:r>
          </w:p>
        </w:tc>
      </w:tr>
      <w:tr w:rsidR="006C4994" w:rsidRPr="00625958" w14:paraId="436BA651" w14:textId="77777777" w:rsidTr="00427002">
        <w:trPr>
          <w:trHeight w:val="560"/>
        </w:trPr>
        <w:tc>
          <w:tcPr>
            <w:tcW w:w="4410" w:type="dxa"/>
            <w:tcBorders>
              <w:left w:val="single" w:sz="12" w:space="0" w:color="auto"/>
              <w:bottom w:val="single" w:sz="12" w:space="0" w:color="auto"/>
            </w:tcBorders>
            <w:shd w:val="clear" w:color="auto" w:fill="D9D9D9" w:themeFill="background1" w:themeFillShade="D9"/>
          </w:tcPr>
          <w:p w14:paraId="5002EB48" w14:textId="77777777" w:rsidR="006C4994" w:rsidRPr="00625958" w:rsidRDefault="006C4994" w:rsidP="006C4994">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B0900AD" w14:textId="41C50A90" w:rsidR="006C4994" w:rsidRPr="00625958" w:rsidRDefault="006C4994" w:rsidP="006C4994">
            <w:pPr>
              <w:rPr>
                <w:sz w:val="18"/>
                <w:szCs w:val="18"/>
              </w:rPr>
            </w:pPr>
            <w:r>
              <w:rPr>
                <w:sz w:val="18"/>
                <w:szCs w:val="18"/>
              </w:rPr>
              <w:t xml:space="preserve"> J.P. Morgan SE did not use consolidated tape provider output or other algorithms to assess execution performances for the year of 2022</w:t>
            </w:r>
            <w:r w:rsidR="00427002">
              <w:rPr>
                <w:sz w:val="18"/>
                <w:szCs w:val="18"/>
              </w:rPr>
              <w:t>.</w:t>
            </w:r>
          </w:p>
        </w:tc>
      </w:tr>
    </w:tbl>
    <w:p w14:paraId="064AE7BF" w14:textId="7508CDCB" w:rsidR="003D17FE" w:rsidRDefault="003D17FE">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3D17FE" w:rsidRPr="00625958" w14:paraId="0730B3D5" w14:textId="77777777" w:rsidTr="00272F8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C787526" w14:textId="77777777" w:rsidR="003D17FE" w:rsidRPr="00625958" w:rsidRDefault="003D17FE" w:rsidP="00272F81">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1433181C" w14:textId="6638F6E0" w:rsidR="003D17FE" w:rsidRPr="00625958" w:rsidRDefault="003D17FE" w:rsidP="00272F81">
            <w:pPr>
              <w:rPr>
                <w:sz w:val="18"/>
                <w:szCs w:val="18"/>
              </w:rPr>
            </w:pPr>
            <w:r w:rsidRPr="00625958">
              <w:rPr>
                <w:sz w:val="18"/>
                <w:szCs w:val="18"/>
              </w:rPr>
              <w:t xml:space="preserve">J.P. Morgan </w:t>
            </w:r>
            <w:r w:rsidR="00EC19B0">
              <w:rPr>
                <w:sz w:val="18"/>
                <w:szCs w:val="18"/>
              </w:rPr>
              <w:t xml:space="preserve">SE </w:t>
            </w:r>
            <w:r w:rsidRPr="00625958">
              <w:rPr>
                <w:sz w:val="18"/>
                <w:szCs w:val="18"/>
              </w:rPr>
              <w:t>(</w:t>
            </w:r>
            <w:r w:rsidR="00EC19B0" w:rsidRPr="001B5F42">
              <w:rPr>
                <w:sz w:val="18"/>
                <w:szCs w:val="18"/>
              </w:rPr>
              <w:t>549300ZK53CNGEEI6A</w:t>
            </w:r>
            <w:proofErr w:type="gramStart"/>
            <w:r w:rsidR="00EC19B0" w:rsidRPr="001B5F42">
              <w:rPr>
                <w:sz w:val="18"/>
                <w:szCs w:val="18"/>
              </w:rPr>
              <w:t>29</w:t>
            </w:r>
            <w:r w:rsidRPr="00625958">
              <w:rPr>
                <w:sz w:val="18"/>
                <w:szCs w:val="18"/>
              </w:rPr>
              <w:t>)</w:t>
            </w:r>
            <w:r w:rsidR="00BB0591">
              <w:rPr>
                <w:sz w:val="18"/>
                <w:szCs w:val="18"/>
              </w:rPr>
              <w:t>*</w:t>
            </w:r>
            <w:proofErr w:type="gramEnd"/>
          </w:p>
        </w:tc>
      </w:tr>
      <w:tr w:rsidR="003D17FE" w:rsidRPr="00625958" w14:paraId="7D58BBEF" w14:textId="77777777" w:rsidTr="00272F8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26F94B1" w14:textId="77777777" w:rsidR="003D17FE" w:rsidRPr="00625958" w:rsidRDefault="003D17FE" w:rsidP="00272F81">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DA851D9" w14:textId="77777777" w:rsidR="003D17FE" w:rsidRPr="00625958" w:rsidRDefault="003D17FE" w:rsidP="00272F81">
            <w:pPr>
              <w:rPr>
                <w:color w:val="000000"/>
                <w:sz w:val="18"/>
                <w:szCs w:val="18"/>
              </w:rPr>
            </w:pPr>
            <w:r w:rsidRPr="00625958">
              <w:rPr>
                <w:color w:val="000000"/>
                <w:sz w:val="18"/>
                <w:szCs w:val="18"/>
              </w:rPr>
              <w:t xml:space="preserve">Equities - Shares &amp; Depositary Receipts: Tick </w:t>
            </w:r>
            <w:r>
              <w:rPr>
                <w:color w:val="000000"/>
                <w:sz w:val="18"/>
                <w:szCs w:val="18"/>
              </w:rPr>
              <w:t>s</w:t>
            </w:r>
            <w:r w:rsidRPr="00625958">
              <w:rPr>
                <w:color w:val="000000"/>
                <w:sz w:val="18"/>
                <w:szCs w:val="18"/>
              </w:rPr>
              <w:t xml:space="preserve">ize </w:t>
            </w:r>
            <w:r>
              <w:rPr>
                <w:color w:val="000000"/>
                <w:sz w:val="18"/>
                <w:szCs w:val="18"/>
              </w:rPr>
              <w:t>l</w:t>
            </w:r>
            <w:r w:rsidRPr="00625958">
              <w:rPr>
                <w:color w:val="000000"/>
                <w:sz w:val="18"/>
                <w:szCs w:val="18"/>
              </w:rPr>
              <w:t xml:space="preserve">iquidity </w:t>
            </w:r>
            <w:r>
              <w:rPr>
                <w:color w:val="000000"/>
                <w:sz w:val="18"/>
                <w:szCs w:val="18"/>
              </w:rPr>
              <w:t>b</w:t>
            </w:r>
            <w:r w:rsidRPr="00625958">
              <w:rPr>
                <w:color w:val="000000"/>
                <w:sz w:val="18"/>
                <w:szCs w:val="18"/>
              </w:rPr>
              <w:t xml:space="preserve">ands 5 </w:t>
            </w:r>
            <w:r>
              <w:rPr>
                <w:color w:val="000000"/>
                <w:sz w:val="18"/>
                <w:szCs w:val="18"/>
              </w:rPr>
              <w:t>a</w:t>
            </w:r>
            <w:r w:rsidRPr="00625958">
              <w:rPr>
                <w:color w:val="000000"/>
                <w:sz w:val="18"/>
                <w:szCs w:val="18"/>
              </w:rPr>
              <w:t>nd 6 (from 2000 trades per day)</w:t>
            </w:r>
          </w:p>
        </w:tc>
      </w:tr>
      <w:tr w:rsidR="003D17FE" w:rsidRPr="00625958" w14:paraId="2A7B95E2" w14:textId="77777777" w:rsidTr="00272F81">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02EB250" w14:textId="77777777" w:rsidR="003D17FE" w:rsidRPr="00625958" w:rsidRDefault="003D17FE" w:rsidP="00272F81">
            <w:pPr>
              <w:jc w:val="center"/>
              <w:rPr>
                <w:sz w:val="18"/>
                <w:szCs w:val="18"/>
              </w:rPr>
            </w:pPr>
            <w:r w:rsidRPr="00625958">
              <w:rPr>
                <w:sz w:val="18"/>
                <w:szCs w:val="18"/>
              </w:rPr>
              <w:t>Summary of Analysis</w:t>
            </w:r>
          </w:p>
        </w:tc>
      </w:tr>
      <w:tr w:rsidR="003D17FE" w:rsidRPr="00625958" w14:paraId="58371CAA" w14:textId="77777777" w:rsidTr="00272F81">
        <w:tc>
          <w:tcPr>
            <w:tcW w:w="14400" w:type="dxa"/>
            <w:gridSpan w:val="2"/>
            <w:tcBorders>
              <w:left w:val="single" w:sz="12" w:space="0" w:color="auto"/>
              <w:right w:val="single" w:sz="12" w:space="0" w:color="auto"/>
            </w:tcBorders>
          </w:tcPr>
          <w:p w14:paraId="6231CB60" w14:textId="13904C94" w:rsidR="003D17FE" w:rsidRPr="00625958" w:rsidRDefault="003D17FE" w:rsidP="00272F81">
            <w:pPr>
              <w:spacing w:after="200"/>
              <w:contextualSpacing/>
              <w:rPr>
                <w:b/>
                <w:color w:val="000000" w:themeColor="text1"/>
                <w:sz w:val="18"/>
                <w:szCs w:val="18"/>
                <w:u w:val="single"/>
              </w:rPr>
            </w:pPr>
            <w:r w:rsidRPr="00625958">
              <w:rPr>
                <w:b/>
                <w:color w:val="000000" w:themeColor="text1"/>
                <w:sz w:val="18"/>
                <w:szCs w:val="18"/>
                <w:u w:val="single"/>
              </w:rPr>
              <w:t xml:space="preserve">J.P. Morgan </w:t>
            </w:r>
            <w:proofErr w:type="gramStart"/>
            <w:r w:rsidR="00EC19B0">
              <w:rPr>
                <w:b/>
                <w:color w:val="000000" w:themeColor="text1"/>
                <w:sz w:val="18"/>
                <w:szCs w:val="18"/>
                <w:u w:val="single"/>
              </w:rPr>
              <w:t xml:space="preserve">SE </w:t>
            </w:r>
            <w:r w:rsidRPr="00625958">
              <w:rPr>
                <w:b/>
                <w:color w:val="000000" w:themeColor="text1"/>
                <w:sz w:val="18"/>
                <w:szCs w:val="18"/>
                <w:u w:val="single"/>
              </w:rPr>
              <w:t>:</w:t>
            </w:r>
            <w:proofErr w:type="gramEnd"/>
            <w:r w:rsidRPr="00625958">
              <w:rPr>
                <w:b/>
                <w:color w:val="000000" w:themeColor="text1"/>
                <w:sz w:val="18"/>
                <w:szCs w:val="18"/>
                <w:u w:val="single"/>
              </w:rPr>
              <w:t xml:space="preserve"> </w:t>
            </w:r>
            <w:r>
              <w:rPr>
                <w:b/>
                <w:color w:val="000000" w:themeColor="text1"/>
                <w:sz w:val="18"/>
                <w:szCs w:val="18"/>
                <w:u w:val="single"/>
              </w:rPr>
              <w:t xml:space="preserve">Agency Securities Finance business </w:t>
            </w:r>
            <w:r w:rsidRPr="00625958">
              <w:rPr>
                <w:b/>
                <w:color w:val="000000" w:themeColor="text1"/>
                <w:sz w:val="18"/>
                <w:szCs w:val="18"/>
                <w:u w:val="single"/>
              </w:rPr>
              <w:t xml:space="preserve">(“Agency </w:t>
            </w:r>
            <w:r>
              <w:rPr>
                <w:b/>
                <w:color w:val="000000" w:themeColor="text1"/>
                <w:sz w:val="18"/>
                <w:szCs w:val="18"/>
                <w:u w:val="single"/>
              </w:rPr>
              <w:t>Securities Finance</w:t>
            </w:r>
            <w:r w:rsidRPr="00625958">
              <w:rPr>
                <w:b/>
                <w:color w:val="000000" w:themeColor="text1"/>
                <w:sz w:val="18"/>
                <w:szCs w:val="18"/>
                <w:u w:val="single"/>
              </w:rPr>
              <w:t>”):</w:t>
            </w:r>
          </w:p>
          <w:p w14:paraId="2B541EA2" w14:textId="77777777" w:rsidR="003D17FE" w:rsidRDefault="003D17FE" w:rsidP="00272F81">
            <w:pPr>
              <w:jc w:val="both"/>
              <w:rPr>
                <w:sz w:val="18"/>
                <w:szCs w:val="18"/>
              </w:rPr>
            </w:pPr>
          </w:p>
          <w:p w14:paraId="5527F0E3" w14:textId="3C30A977" w:rsidR="003D17FE" w:rsidRDefault="003D17FE" w:rsidP="00272F81">
            <w:pPr>
              <w:jc w:val="both"/>
              <w:rPr>
                <w:sz w:val="18"/>
                <w:szCs w:val="18"/>
              </w:rPr>
            </w:pPr>
            <w:r w:rsidRPr="00D275E0">
              <w:rPr>
                <w:sz w:val="18"/>
                <w:szCs w:val="18"/>
              </w:rPr>
              <w:t>For the year of 202</w:t>
            </w:r>
            <w:r w:rsidR="007641E2">
              <w:rPr>
                <w:sz w:val="18"/>
                <w:szCs w:val="18"/>
              </w:rPr>
              <w:t>2</w:t>
            </w:r>
            <w:r>
              <w:rPr>
                <w:sz w:val="18"/>
                <w:szCs w:val="18"/>
              </w:rPr>
              <w:t>,</w:t>
            </w:r>
            <w:r w:rsidRPr="00D275E0">
              <w:rPr>
                <w:sz w:val="18"/>
                <w:szCs w:val="18"/>
              </w:rPr>
              <w:t xml:space="preserve"> J.P. Morgan </w:t>
            </w:r>
            <w:proofErr w:type="gramStart"/>
            <w:r w:rsidR="00EC19B0">
              <w:rPr>
                <w:sz w:val="18"/>
                <w:szCs w:val="18"/>
              </w:rPr>
              <w:t xml:space="preserve">SE </w:t>
            </w:r>
            <w:r w:rsidRPr="00D275E0">
              <w:rPr>
                <w:sz w:val="18"/>
                <w:szCs w:val="18"/>
              </w:rPr>
              <w:t xml:space="preserve"> Agency</w:t>
            </w:r>
            <w:proofErr w:type="gramEnd"/>
            <w:r w:rsidRPr="00D275E0">
              <w:rPr>
                <w:sz w:val="18"/>
                <w:szCs w:val="18"/>
              </w:rPr>
              <w:t xml:space="preserve"> Securities </w:t>
            </w:r>
            <w:r w:rsidRPr="00AB2A57">
              <w:rPr>
                <w:bCs/>
                <w:color w:val="000000" w:themeColor="text1"/>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78510B9A" w14:textId="77777777" w:rsidR="003D17FE" w:rsidRPr="00625958" w:rsidRDefault="003D17FE" w:rsidP="00272F81">
            <w:pPr>
              <w:jc w:val="both"/>
              <w:rPr>
                <w:sz w:val="18"/>
                <w:szCs w:val="18"/>
              </w:rPr>
            </w:pPr>
          </w:p>
        </w:tc>
      </w:tr>
      <w:tr w:rsidR="003D17FE" w:rsidRPr="00625958" w14:paraId="25F0E8E0" w14:textId="77777777" w:rsidTr="00272F81">
        <w:tc>
          <w:tcPr>
            <w:tcW w:w="4410" w:type="dxa"/>
            <w:tcBorders>
              <w:left w:val="single" w:sz="12" w:space="0" w:color="auto"/>
            </w:tcBorders>
            <w:shd w:val="clear" w:color="auto" w:fill="D9D9D9" w:themeFill="background1" w:themeFillShade="D9"/>
          </w:tcPr>
          <w:p w14:paraId="55537A33" w14:textId="77777777" w:rsidR="003D17FE" w:rsidRPr="00625958" w:rsidRDefault="003D17FE" w:rsidP="00272F81">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7E83EB90" w14:textId="4679C71F" w:rsidR="003D17FE" w:rsidRPr="00625958" w:rsidRDefault="00895EE0" w:rsidP="00272F81">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53" w:history="1">
              <w:r w:rsidRPr="00293674">
                <w:rPr>
                  <w:rStyle w:val="Hyperlink"/>
                  <w:sz w:val="18"/>
                  <w:szCs w:val="18"/>
                </w:rPr>
                <w:t>J.P. Morgan EMEA Securities Services: Execution Policy Appendix 4</w:t>
              </w:r>
            </w:hyperlink>
            <w:r>
              <w:rPr>
                <w:sz w:val="18"/>
                <w:szCs w:val="18"/>
              </w:rPr>
              <w:t>.  In this policy, page 7 details the considerations for the key execution factors and page 11 details the factors affecting Agency Securities</w:t>
            </w:r>
            <w:r w:rsidRPr="00293674">
              <w:rPr>
                <w:sz w:val="18"/>
                <w:szCs w:val="18"/>
              </w:rPr>
              <w:t xml:space="preserve"> Finance’s</w:t>
            </w:r>
            <w:r>
              <w:rPr>
                <w:sz w:val="18"/>
                <w:szCs w:val="18"/>
              </w:rPr>
              <w:t xml:space="preserve"> choice of execution venues.</w:t>
            </w:r>
          </w:p>
        </w:tc>
      </w:tr>
      <w:tr w:rsidR="00895EE0" w:rsidRPr="00625958" w14:paraId="5CADBD2F" w14:textId="77777777" w:rsidTr="00272F81">
        <w:trPr>
          <w:trHeight w:val="485"/>
        </w:trPr>
        <w:tc>
          <w:tcPr>
            <w:tcW w:w="4410" w:type="dxa"/>
            <w:tcBorders>
              <w:left w:val="single" w:sz="12" w:space="0" w:color="auto"/>
            </w:tcBorders>
            <w:shd w:val="clear" w:color="auto" w:fill="D9D9D9" w:themeFill="background1" w:themeFillShade="D9"/>
          </w:tcPr>
          <w:p w14:paraId="2622B311" w14:textId="77777777" w:rsidR="00895EE0" w:rsidRPr="00625958" w:rsidRDefault="00895EE0" w:rsidP="00895EE0">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3DA0F5DB" w14:textId="48D8BD23" w:rsidR="00895EE0" w:rsidRDefault="00895EE0" w:rsidP="00895EE0">
            <w:pPr>
              <w:rPr>
                <w:sz w:val="18"/>
                <w:szCs w:val="18"/>
              </w:rPr>
            </w:pPr>
            <w:r>
              <w:rPr>
                <w:sz w:val="18"/>
                <w:szCs w:val="18"/>
              </w:rPr>
              <w:t>J.P. Morgan</w:t>
            </w:r>
            <w:r w:rsidR="00EC19B0">
              <w:rPr>
                <w:sz w:val="18"/>
                <w:szCs w:val="18"/>
              </w:rPr>
              <w:t xml:space="preserve"> </w:t>
            </w:r>
            <w:proofErr w:type="gramStart"/>
            <w:r w:rsidR="00EC19B0">
              <w:rPr>
                <w:sz w:val="18"/>
                <w:szCs w:val="18"/>
              </w:rPr>
              <w:t>SE</w:t>
            </w:r>
            <w:r>
              <w:rPr>
                <w:sz w:val="18"/>
                <w:szCs w:val="18"/>
              </w:rPr>
              <w:t xml:space="preserve"> ,</w:t>
            </w:r>
            <w:proofErr w:type="gramEnd"/>
            <w:r>
              <w:rPr>
                <w:sz w:val="18"/>
                <w:szCs w:val="18"/>
              </w:rPr>
              <w:t xml:space="preserve"> is a fully owned subsidiary of JPMorgan Chase &amp; Co.</w:t>
            </w:r>
          </w:p>
          <w:p w14:paraId="5414B9A4" w14:textId="77777777" w:rsidR="00EC19B0" w:rsidRPr="00293674" w:rsidRDefault="00EC19B0" w:rsidP="00EC19B0">
            <w:pPr>
              <w:rPr>
                <w:sz w:val="18"/>
                <w:szCs w:val="18"/>
              </w:rPr>
            </w:pPr>
            <w:r w:rsidRPr="00683402">
              <w:rPr>
                <w:bCs/>
                <w:color w:val="000000" w:themeColor="text1"/>
                <w:sz w:val="18"/>
                <w:szCs w:val="18"/>
              </w:rPr>
              <w:t>J.P. Morgan</w:t>
            </w:r>
            <w:r>
              <w:rPr>
                <w:bCs/>
                <w:color w:val="000000" w:themeColor="text1"/>
                <w:sz w:val="18"/>
                <w:szCs w:val="18"/>
              </w:rPr>
              <w:t xml:space="preserve"> SE</w:t>
            </w:r>
            <w:r w:rsidRPr="00683402">
              <w:rPr>
                <w:bCs/>
                <w:color w:val="000000" w:themeColor="text1"/>
                <w:sz w:val="18"/>
                <w:szCs w:val="18"/>
              </w:rPr>
              <w:t xml:space="preserve"> did not have any execution venue close links, conflicts of interest or common ownerships for the year of 202</w:t>
            </w:r>
            <w:r>
              <w:rPr>
                <w:bCs/>
                <w:color w:val="000000" w:themeColor="text1"/>
                <w:sz w:val="18"/>
                <w:szCs w:val="18"/>
              </w:rPr>
              <w:t>2</w:t>
            </w:r>
          </w:p>
          <w:p w14:paraId="55E210DC" w14:textId="77777777" w:rsidR="00895EE0" w:rsidRPr="00625958" w:rsidRDefault="00895EE0" w:rsidP="00895EE0">
            <w:pPr>
              <w:rPr>
                <w:sz w:val="18"/>
                <w:szCs w:val="18"/>
              </w:rPr>
            </w:pPr>
          </w:p>
        </w:tc>
      </w:tr>
      <w:tr w:rsidR="00895EE0" w:rsidRPr="00625958" w14:paraId="01FEBD1A" w14:textId="77777777" w:rsidTr="00427002">
        <w:trPr>
          <w:trHeight w:val="371"/>
        </w:trPr>
        <w:tc>
          <w:tcPr>
            <w:tcW w:w="4410" w:type="dxa"/>
            <w:tcBorders>
              <w:left w:val="single" w:sz="12" w:space="0" w:color="auto"/>
            </w:tcBorders>
            <w:shd w:val="clear" w:color="auto" w:fill="D9D9D9" w:themeFill="background1" w:themeFillShade="D9"/>
          </w:tcPr>
          <w:p w14:paraId="103F982F" w14:textId="77777777" w:rsidR="00895EE0" w:rsidRPr="00625958" w:rsidRDefault="00895EE0" w:rsidP="00895EE0">
            <w:pPr>
              <w:rPr>
                <w:sz w:val="18"/>
                <w:szCs w:val="18"/>
              </w:rPr>
            </w:pPr>
            <w:r w:rsidRPr="00625958">
              <w:rPr>
                <w:sz w:val="18"/>
                <w:szCs w:val="18"/>
              </w:rPr>
              <w:t>Specific execution venue arrangements</w:t>
            </w:r>
          </w:p>
        </w:tc>
        <w:tc>
          <w:tcPr>
            <w:tcW w:w="9990" w:type="dxa"/>
            <w:tcBorders>
              <w:right w:val="single" w:sz="12" w:space="0" w:color="auto"/>
            </w:tcBorders>
          </w:tcPr>
          <w:p w14:paraId="123588A9" w14:textId="3DDCCF7E" w:rsidR="00895EE0" w:rsidRDefault="007641E2" w:rsidP="00895EE0">
            <w:pPr>
              <w:rPr>
                <w:sz w:val="18"/>
                <w:szCs w:val="18"/>
              </w:rPr>
            </w:pPr>
            <w:r>
              <w:rPr>
                <w:sz w:val="18"/>
                <w:szCs w:val="18"/>
              </w:rPr>
              <w:t xml:space="preserve"> </w:t>
            </w:r>
            <w:r w:rsidR="00EC19B0">
              <w:rPr>
                <w:iCs/>
                <w:sz w:val="18"/>
                <w:szCs w:val="18"/>
              </w:rPr>
              <w:t>J.P. Morgan SE did not have any specific execution venue arrangements for the year of 2022</w:t>
            </w:r>
          </w:p>
          <w:p w14:paraId="7AC5669E" w14:textId="77777777" w:rsidR="00895EE0" w:rsidRPr="00625958" w:rsidRDefault="00895EE0" w:rsidP="00895EE0">
            <w:pPr>
              <w:rPr>
                <w:sz w:val="18"/>
                <w:szCs w:val="18"/>
              </w:rPr>
            </w:pPr>
          </w:p>
        </w:tc>
      </w:tr>
      <w:tr w:rsidR="00895EE0" w:rsidRPr="00625958" w14:paraId="6AE1FA8E" w14:textId="77777777" w:rsidTr="00272F81">
        <w:trPr>
          <w:trHeight w:val="368"/>
        </w:trPr>
        <w:tc>
          <w:tcPr>
            <w:tcW w:w="4410" w:type="dxa"/>
            <w:tcBorders>
              <w:left w:val="single" w:sz="12" w:space="0" w:color="auto"/>
            </w:tcBorders>
            <w:shd w:val="clear" w:color="auto" w:fill="D9D9D9" w:themeFill="background1" w:themeFillShade="D9"/>
          </w:tcPr>
          <w:p w14:paraId="24A9521C" w14:textId="77777777" w:rsidR="00895EE0" w:rsidRPr="00625958" w:rsidRDefault="00895EE0" w:rsidP="00895EE0">
            <w:pPr>
              <w:rPr>
                <w:sz w:val="18"/>
                <w:szCs w:val="18"/>
              </w:rPr>
            </w:pPr>
            <w:r w:rsidRPr="00625958">
              <w:rPr>
                <w:sz w:val="18"/>
                <w:szCs w:val="18"/>
              </w:rPr>
              <w:t>Changes to execution venues</w:t>
            </w:r>
          </w:p>
        </w:tc>
        <w:tc>
          <w:tcPr>
            <w:tcW w:w="9990" w:type="dxa"/>
            <w:tcBorders>
              <w:right w:val="single" w:sz="12" w:space="0" w:color="auto"/>
            </w:tcBorders>
          </w:tcPr>
          <w:p w14:paraId="0EBFB07A" w14:textId="77777777" w:rsidR="00895EE0" w:rsidRPr="00625958" w:rsidRDefault="00895EE0" w:rsidP="00895EE0">
            <w:pPr>
              <w:spacing w:after="120"/>
              <w:rPr>
                <w:sz w:val="18"/>
                <w:szCs w:val="18"/>
              </w:rPr>
            </w:pPr>
            <w:r>
              <w:rPr>
                <w:sz w:val="18"/>
                <w:szCs w:val="18"/>
              </w:rPr>
              <w:t xml:space="preserve">No change to execution venues. The list of execution venues can be found within the </w:t>
            </w:r>
            <w:hyperlink r:id="rId54" w:history="1">
              <w:r>
                <w:rPr>
                  <w:rStyle w:val="Hyperlink"/>
                  <w:sz w:val="18"/>
                  <w:szCs w:val="18"/>
                </w:rPr>
                <w:t>Disclosures</w:t>
              </w:r>
            </w:hyperlink>
            <w:r>
              <w:rPr>
                <w:sz w:val="18"/>
                <w:szCs w:val="18"/>
              </w:rPr>
              <w:t xml:space="preserve"> section of the Execution Policy -  </w:t>
            </w:r>
            <w:hyperlink r:id="rId55" w:history="1">
              <w:r w:rsidRPr="00FD2FC6">
                <w:rPr>
                  <w:rStyle w:val="Hyperlink"/>
                  <w:sz w:val="18"/>
                  <w:szCs w:val="18"/>
                </w:rPr>
                <w:t>Appendix 1 - List of Execution Venues</w:t>
              </w:r>
            </w:hyperlink>
            <w:r>
              <w:rPr>
                <w:sz w:val="18"/>
                <w:szCs w:val="18"/>
              </w:rPr>
              <w:t xml:space="preserve">.  </w:t>
            </w:r>
          </w:p>
        </w:tc>
      </w:tr>
      <w:tr w:rsidR="00A855BD" w:rsidRPr="00625958" w14:paraId="5FAECE79" w14:textId="77777777" w:rsidTr="00427002">
        <w:trPr>
          <w:trHeight w:val="1253"/>
        </w:trPr>
        <w:tc>
          <w:tcPr>
            <w:tcW w:w="4410" w:type="dxa"/>
            <w:tcBorders>
              <w:left w:val="single" w:sz="12" w:space="0" w:color="auto"/>
            </w:tcBorders>
            <w:shd w:val="clear" w:color="auto" w:fill="D9D9D9" w:themeFill="background1" w:themeFillShade="D9"/>
          </w:tcPr>
          <w:p w14:paraId="7A56094D" w14:textId="77777777" w:rsidR="00A855BD" w:rsidRPr="00625958" w:rsidRDefault="00A855BD" w:rsidP="00A855BD">
            <w:pPr>
              <w:rPr>
                <w:sz w:val="18"/>
                <w:szCs w:val="18"/>
              </w:rPr>
            </w:pPr>
            <w:r w:rsidRPr="00625958">
              <w:rPr>
                <w:sz w:val="18"/>
                <w:szCs w:val="18"/>
              </w:rPr>
              <w:t>Client distinctions</w:t>
            </w:r>
          </w:p>
        </w:tc>
        <w:tc>
          <w:tcPr>
            <w:tcW w:w="9990" w:type="dxa"/>
            <w:tcBorders>
              <w:right w:val="single" w:sz="12" w:space="0" w:color="auto"/>
            </w:tcBorders>
          </w:tcPr>
          <w:p w14:paraId="1D9BC90B" w14:textId="77777777" w:rsidR="00A855BD" w:rsidRDefault="00A855BD" w:rsidP="00A855BD">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7C7C6669" w14:textId="77777777" w:rsidR="00A855BD" w:rsidRDefault="00A855BD" w:rsidP="00A855BD">
            <w:pPr>
              <w:spacing w:after="120"/>
              <w:rPr>
                <w:sz w:val="18"/>
                <w:szCs w:val="18"/>
              </w:rPr>
            </w:pPr>
            <w:r>
              <w:rPr>
                <w:sz w:val="18"/>
                <w:szCs w:val="18"/>
              </w:rPr>
              <w:t xml:space="preserve">JPMSE CIB only deals with Professional Clients. </w:t>
            </w:r>
          </w:p>
          <w:p w14:paraId="51AFC895" w14:textId="2BCEBADB" w:rsidR="00A855BD" w:rsidRPr="00F52215" w:rsidRDefault="00A855BD" w:rsidP="00F52215">
            <w:pPr>
              <w:rPr>
                <w:sz w:val="18"/>
                <w:szCs w:val="18"/>
              </w:rPr>
            </w:pPr>
            <w:r>
              <w:rPr>
                <w:sz w:val="18"/>
                <w:szCs w:val="18"/>
              </w:rPr>
              <w:t xml:space="preserve">However, JPMSE PB deals with both Professional and Retail Clients and its Best Execution disclosures can be found </w:t>
            </w:r>
            <w:hyperlink r:id="rId56" w:history="1">
              <w:r>
                <w:rPr>
                  <w:rStyle w:val="Hyperlink"/>
                  <w:sz w:val="18"/>
                  <w:szCs w:val="18"/>
                </w:rPr>
                <w:t>here</w:t>
              </w:r>
            </w:hyperlink>
            <w:r>
              <w:rPr>
                <w:sz w:val="18"/>
                <w:szCs w:val="18"/>
              </w:rPr>
              <w:t>.</w:t>
            </w:r>
          </w:p>
        </w:tc>
      </w:tr>
      <w:tr w:rsidR="00A855BD" w:rsidRPr="00625958" w14:paraId="7D59D52A" w14:textId="77777777" w:rsidTr="00427002">
        <w:trPr>
          <w:trHeight w:val="434"/>
        </w:trPr>
        <w:tc>
          <w:tcPr>
            <w:tcW w:w="4410" w:type="dxa"/>
            <w:tcBorders>
              <w:left w:val="single" w:sz="12" w:space="0" w:color="auto"/>
            </w:tcBorders>
            <w:shd w:val="clear" w:color="auto" w:fill="D9D9D9" w:themeFill="background1" w:themeFillShade="D9"/>
          </w:tcPr>
          <w:p w14:paraId="5033E9B3" w14:textId="77777777" w:rsidR="00A855BD" w:rsidRPr="00625958" w:rsidRDefault="00A855BD" w:rsidP="00A855BD">
            <w:pPr>
              <w:rPr>
                <w:sz w:val="18"/>
                <w:szCs w:val="18"/>
              </w:rPr>
            </w:pPr>
            <w:r>
              <w:rPr>
                <w:sz w:val="18"/>
                <w:szCs w:val="18"/>
              </w:rPr>
              <w:t>Retail client orders</w:t>
            </w:r>
          </w:p>
        </w:tc>
        <w:tc>
          <w:tcPr>
            <w:tcW w:w="9990" w:type="dxa"/>
            <w:tcBorders>
              <w:right w:val="single" w:sz="12" w:space="0" w:color="auto"/>
            </w:tcBorders>
          </w:tcPr>
          <w:p w14:paraId="2AC2E770" w14:textId="510C9D83" w:rsidR="00A855BD" w:rsidRPr="00EC5BE7" w:rsidRDefault="00A855BD" w:rsidP="00A855BD">
            <w:pPr>
              <w:rPr>
                <w:sz w:val="18"/>
                <w:szCs w:val="18"/>
              </w:rPr>
            </w:pPr>
            <w:r w:rsidRPr="00EC5BE7">
              <w:rPr>
                <w:sz w:val="18"/>
                <w:szCs w:val="18"/>
              </w:rPr>
              <w:t>See above</w:t>
            </w:r>
          </w:p>
          <w:p w14:paraId="72994786" w14:textId="4CA68180" w:rsidR="00A855BD" w:rsidRPr="007253C8" w:rsidRDefault="00A855BD" w:rsidP="00A855BD">
            <w:pPr>
              <w:spacing w:after="120"/>
              <w:rPr>
                <w:sz w:val="18"/>
                <w:szCs w:val="18"/>
                <w:highlight w:val="yellow"/>
              </w:rPr>
            </w:pPr>
          </w:p>
        </w:tc>
      </w:tr>
      <w:tr w:rsidR="00A855BD" w:rsidRPr="00625958" w14:paraId="77790046" w14:textId="77777777" w:rsidTr="00272F81">
        <w:tc>
          <w:tcPr>
            <w:tcW w:w="4410" w:type="dxa"/>
            <w:tcBorders>
              <w:left w:val="single" w:sz="12" w:space="0" w:color="auto"/>
            </w:tcBorders>
            <w:shd w:val="clear" w:color="auto" w:fill="D9D9D9" w:themeFill="background1" w:themeFillShade="D9"/>
          </w:tcPr>
          <w:p w14:paraId="7A53A544" w14:textId="77777777" w:rsidR="00A855BD" w:rsidRPr="00625958" w:rsidRDefault="00A855BD" w:rsidP="00A855BD">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75F80907" w14:textId="18303917" w:rsidR="00A855BD" w:rsidRDefault="00A855BD" w:rsidP="00A855BD">
            <w:pPr>
              <w:rPr>
                <w:color w:val="000000"/>
                <w:sz w:val="18"/>
                <w:szCs w:val="18"/>
              </w:rPr>
            </w:pPr>
            <w:r>
              <w:rPr>
                <w:color w:val="000000"/>
                <w:sz w:val="18"/>
                <w:szCs w:val="18"/>
                <w:u w:val="single"/>
              </w:rPr>
              <w:t xml:space="preserve">Securities financing transactions (SFTs): </w:t>
            </w:r>
            <w:r w:rsidRPr="00625958">
              <w:rPr>
                <w:sz w:val="18"/>
                <w:szCs w:val="18"/>
              </w:rPr>
              <w:t xml:space="preserve"> J.P. Morgan</w:t>
            </w:r>
            <w:r>
              <w:rPr>
                <w:sz w:val="18"/>
                <w:szCs w:val="18"/>
              </w:rPr>
              <w:t xml:space="preserve"> </w:t>
            </w:r>
            <w:proofErr w:type="gramStart"/>
            <w:r>
              <w:rPr>
                <w:sz w:val="18"/>
                <w:szCs w:val="18"/>
              </w:rPr>
              <w:t>SE</w:t>
            </w:r>
            <w:r w:rsidRPr="00625958">
              <w:rPr>
                <w:sz w:val="18"/>
                <w:szCs w:val="18"/>
              </w:rPr>
              <w:t xml:space="preserve">  </w:t>
            </w:r>
            <w:r>
              <w:rPr>
                <w:color w:val="000000"/>
                <w:sz w:val="18"/>
                <w:szCs w:val="18"/>
              </w:rPr>
              <w:t>assessed</w:t>
            </w:r>
            <w:proofErr w:type="gramEnd"/>
            <w:r>
              <w:rPr>
                <w:color w:val="000000"/>
                <w:sz w:val="18"/>
                <w:szCs w:val="18"/>
              </w:rPr>
              <w:t xml:space="preserve"> the fairness of pricing of loans subject to Best Execution by comparing open loan fees and rebates to rates supplied by third party vendors.</w:t>
            </w:r>
          </w:p>
          <w:p w14:paraId="477F3DF7" w14:textId="0D0AF044" w:rsidR="00A855BD" w:rsidRPr="00625958" w:rsidRDefault="00A855BD" w:rsidP="00A855BD">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w:t>
            </w:r>
            <w:r>
              <w:rPr>
                <w:sz w:val="18"/>
                <w:szCs w:val="18"/>
              </w:rPr>
              <w:t xml:space="preserve"> </w:t>
            </w:r>
            <w:proofErr w:type="gramStart"/>
            <w:r>
              <w:rPr>
                <w:sz w:val="18"/>
                <w:szCs w:val="18"/>
              </w:rPr>
              <w:t>SE</w:t>
            </w:r>
            <w:r w:rsidRPr="00625958">
              <w:rPr>
                <w:sz w:val="18"/>
                <w:szCs w:val="18"/>
              </w:rPr>
              <w:t xml:space="preserve">  </w:t>
            </w:r>
            <w:r>
              <w:rPr>
                <w:sz w:val="18"/>
                <w:szCs w:val="18"/>
              </w:rPr>
              <w:t>assessed</w:t>
            </w:r>
            <w:proofErr w:type="gramEnd"/>
            <w:r>
              <w:rPr>
                <w:sz w:val="18"/>
                <w:szCs w:val="18"/>
              </w:rPr>
              <w:t xml:space="preserve"> the fairness of pricing of transactions subject to Best Execution by evaluating Term investment executions against different external reference prices.</w:t>
            </w:r>
          </w:p>
        </w:tc>
      </w:tr>
      <w:tr w:rsidR="00A855BD" w:rsidRPr="00625958" w14:paraId="65FDDB3C" w14:textId="77777777" w:rsidTr="00427002">
        <w:trPr>
          <w:trHeight w:val="605"/>
        </w:trPr>
        <w:tc>
          <w:tcPr>
            <w:tcW w:w="4410" w:type="dxa"/>
            <w:tcBorders>
              <w:left w:val="single" w:sz="12" w:space="0" w:color="auto"/>
              <w:bottom w:val="single" w:sz="12" w:space="0" w:color="auto"/>
            </w:tcBorders>
            <w:shd w:val="clear" w:color="auto" w:fill="D9D9D9" w:themeFill="background1" w:themeFillShade="D9"/>
          </w:tcPr>
          <w:p w14:paraId="780C6B92" w14:textId="77777777" w:rsidR="00A855BD" w:rsidRPr="00625958" w:rsidRDefault="00A855BD" w:rsidP="00A855BD">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F87C0D8" w14:textId="7E87FB6A" w:rsidR="00A855BD" w:rsidRPr="00625958" w:rsidRDefault="00A855BD" w:rsidP="00427002">
            <w:pPr>
              <w:rPr>
                <w:sz w:val="18"/>
                <w:szCs w:val="18"/>
              </w:rPr>
            </w:pPr>
            <w:r>
              <w:rPr>
                <w:sz w:val="18"/>
                <w:szCs w:val="18"/>
              </w:rPr>
              <w:t xml:space="preserve"> J.P. Morgan SE did not use consolidated tape provider output or other algorithms to assess execution performances for the year of 2022</w:t>
            </w:r>
            <w:r w:rsidR="00427002">
              <w:rPr>
                <w:sz w:val="18"/>
                <w:szCs w:val="18"/>
              </w:rPr>
              <w:t>.</w:t>
            </w:r>
          </w:p>
        </w:tc>
      </w:tr>
    </w:tbl>
    <w:p w14:paraId="59DA02AF" w14:textId="77777777" w:rsidR="00C05144" w:rsidRPr="00625958" w:rsidRDefault="00C05144"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0E0ADE02" w14:textId="77777777" w:rsidTr="00AF6C9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BA5E578" w14:textId="77777777" w:rsidR="00C05144" w:rsidRPr="00625958" w:rsidRDefault="00C05144" w:rsidP="00325EB9">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4660E3AA" w14:textId="5C134940" w:rsidR="00C05144" w:rsidRPr="00625958" w:rsidRDefault="00C05144" w:rsidP="00325EB9">
            <w:pPr>
              <w:rPr>
                <w:sz w:val="18"/>
                <w:szCs w:val="18"/>
              </w:rPr>
            </w:pPr>
            <w:r w:rsidRPr="00625958">
              <w:rPr>
                <w:sz w:val="18"/>
                <w:szCs w:val="18"/>
              </w:rPr>
              <w:t>J.P. Morgan</w:t>
            </w:r>
            <w:r w:rsidR="007641E2">
              <w:rPr>
                <w:sz w:val="18"/>
                <w:szCs w:val="18"/>
              </w:rPr>
              <w:t xml:space="preserve"> SE</w:t>
            </w:r>
            <w:r w:rsidRPr="00625958">
              <w:rPr>
                <w:sz w:val="18"/>
                <w:szCs w:val="18"/>
              </w:rPr>
              <w:t xml:space="preserve"> (</w:t>
            </w:r>
            <w:r w:rsidR="007641E2" w:rsidRPr="001B5F42">
              <w:rPr>
                <w:sz w:val="18"/>
                <w:szCs w:val="18"/>
              </w:rPr>
              <w:t>549300ZK53CNGEEI6A</w:t>
            </w:r>
            <w:proofErr w:type="gramStart"/>
            <w:r w:rsidR="007641E2" w:rsidRPr="001B5F42">
              <w:rPr>
                <w:sz w:val="18"/>
                <w:szCs w:val="18"/>
              </w:rPr>
              <w:t>29</w:t>
            </w:r>
            <w:r w:rsidRPr="00625958">
              <w:rPr>
                <w:sz w:val="18"/>
                <w:szCs w:val="18"/>
              </w:rPr>
              <w:t>)</w:t>
            </w:r>
            <w:r w:rsidR="00BB0591">
              <w:rPr>
                <w:sz w:val="18"/>
                <w:szCs w:val="18"/>
              </w:rPr>
              <w:t>*</w:t>
            </w:r>
            <w:proofErr w:type="gramEnd"/>
            <w:r w:rsidR="003C5DD7" w:rsidDel="003C5DD7">
              <w:rPr>
                <w:sz w:val="18"/>
                <w:szCs w:val="18"/>
              </w:rPr>
              <w:t xml:space="preserve"> </w:t>
            </w:r>
          </w:p>
        </w:tc>
      </w:tr>
      <w:tr w:rsidR="00C05144" w:rsidRPr="00625958" w14:paraId="08FADD1C" w14:textId="77777777" w:rsidTr="00AF6C9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1F39FC2"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A44B5B0" w14:textId="76588B55" w:rsidR="00C05144" w:rsidRPr="00625958" w:rsidRDefault="00ED0764" w:rsidP="00325EB9">
            <w:pPr>
              <w:rPr>
                <w:color w:val="000000"/>
                <w:sz w:val="18"/>
                <w:szCs w:val="18"/>
              </w:rPr>
            </w:pPr>
            <w:r w:rsidRPr="00625958">
              <w:rPr>
                <w:color w:val="000000"/>
                <w:sz w:val="18"/>
                <w:szCs w:val="18"/>
              </w:rPr>
              <w:t xml:space="preserve">Exchange </w:t>
            </w:r>
            <w:r w:rsidR="00ED3540">
              <w:rPr>
                <w:color w:val="000000"/>
                <w:sz w:val="18"/>
                <w:szCs w:val="18"/>
              </w:rPr>
              <w:t>t</w:t>
            </w:r>
            <w:r w:rsidRPr="00625958">
              <w:rPr>
                <w:color w:val="000000"/>
                <w:sz w:val="18"/>
                <w:szCs w:val="18"/>
              </w:rPr>
              <w:t xml:space="preserve">raded </w:t>
            </w:r>
            <w:r w:rsidR="00ED3540">
              <w:rPr>
                <w:color w:val="000000"/>
                <w:sz w:val="18"/>
                <w:szCs w:val="18"/>
              </w:rPr>
              <w:t>p</w:t>
            </w:r>
            <w:r w:rsidRPr="00625958">
              <w:rPr>
                <w:color w:val="000000"/>
                <w:sz w:val="18"/>
                <w:szCs w:val="18"/>
              </w:rPr>
              <w:t xml:space="preserve">roducts (Exchange </w:t>
            </w:r>
            <w:r w:rsidR="00ED3540">
              <w:rPr>
                <w:color w:val="000000"/>
                <w:sz w:val="18"/>
                <w:szCs w:val="18"/>
              </w:rPr>
              <w:t>t</w:t>
            </w:r>
            <w:r w:rsidRPr="00625958">
              <w:rPr>
                <w:color w:val="000000"/>
                <w:sz w:val="18"/>
                <w:szCs w:val="18"/>
              </w:rPr>
              <w:t xml:space="preserve">raded </w:t>
            </w:r>
            <w:r w:rsidR="00ED3540">
              <w:rPr>
                <w:color w:val="000000"/>
                <w:sz w:val="18"/>
                <w:szCs w:val="18"/>
              </w:rPr>
              <w:t>f</w:t>
            </w:r>
            <w:r w:rsidRPr="00625958">
              <w:rPr>
                <w:color w:val="000000"/>
                <w:sz w:val="18"/>
                <w:szCs w:val="18"/>
              </w:rPr>
              <w:t xml:space="preserve">unds, </w:t>
            </w:r>
            <w:r w:rsidR="00ED3540">
              <w:rPr>
                <w:color w:val="000000"/>
                <w:sz w:val="18"/>
                <w:szCs w:val="18"/>
              </w:rPr>
              <w:t>e</w:t>
            </w:r>
            <w:r w:rsidRPr="00625958">
              <w:rPr>
                <w:color w:val="000000"/>
                <w:sz w:val="18"/>
                <w:szCs w:val="18"/>
              </w:rPr>
              <w:t xml:space="preserve">xchange </w:t>
            </w:r>
            <w:r w:rsidR="00ED3540">
              <w:rPr>
                <w:color w:val="000000"/>
                <w:sz w:val="18"/>
                <w:szCs w:val="18"/>
              </w:rPr>
              <w:t>t</w:t>
            </w:r>
            <w:r w:rsidRPr="00625958">
              <w:rPr>
                <w:color w:val="000000"/>
                <w:sz w:val="18"/>
                <w:szCs w:val="18"/>
              </w:rPr>
              <w:t xml:space="preserve">raded </w:t>
            </w:r>
            <w:r w:rsidR="00ED3540">
              <w:rPr>
                <w:color w:val="000000"/>
                <w:sz w:val="18"/>
                <w:szCs w:val="18"/>
              </w:rPr>
              <w:t>n</w:t>
            </w:r>
            <w:r w:rsidRPr="00625958">
              <w:rPr>
                <w:color w:val="000000"/>
                <w:sz w:val="18"/>
                <w:szCs w:val="18"/>
              </w:rPr>
              <w:t xml:space="preserve">otes and </w:t>
            </w:r>
            <w:r w:rsidR="00ED3540">
              <w:rPr>
                <w:color w:val="000000"/>
                <w:sz w:val="18"/>
                <w:szCs w:val="18"/>
              </w:rPr>
              <w:t>e</w:t>
            </w:r>
            <w:r w:rsidRPr="00625958">
              <w:rPr>
                <w:color w:val="000000"/>
                <w:sz w:val="18"/>
                <w:szCs w:val="18"/>
              </w:rPr>
              <w:t xml:space="preserve">xchange </w:t>
            </w:r>
            <w:r w:rsidR="00ED3540">
              <w:rPr>
                <w:color w:val="000000"/>
                <w:sz w:val="18"/>
                <w:szCs w:val="18"/>
              </w:rPr>
              <w:t>t</w:t>
            </w:r>
            <w:r w:rsidR="00C05144" w:rsidRPr="00625958">
              <w:rPr>
                <w:color w:val="000000"/>
                <w:sz w:val="18"/>
                <w:szCs w:val="18"/>
              </w:rPr>
              <w:t xml:space="preserve">raded </w:t>
            </w:r>
            <w:r w:rsidR="00ED3540">
              <w:rPr>
                <w:color w:val="000000"/>
                <w:sz w:val="18"/>
                <w:szCs w:val="18"/>
              </w:rPr>
              <w:t>c</w:t>
            </w:r>
            <w:r w:rsidR="00C05144" w:rsidRPr="00625958">
              <w:rPr>
                <w:color w:val="000000"/>
                <w:sz w:val="18"/>
                <w:szCs w:val="18"/>
              </w:rPr>
              <w:t>ommodities)</w:t>
            </w:r>
          </w:p>
        </w:tc>
      </w:tr>
      <w:tr w:rsidR="00C05144" w:rsidRPr="00625958" w14:paraId="1695916C" w14:textId="77777777" w:rsidTr="00AF6C9C">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B01292E" w14:textId="77777777" w:rsidR="00C05144" w:rsidRPr="00625958" w:rsidRDefault="00C05144" w:rsidP="00325EB9">
            <w:pPr>
              <w:jc w:val="center"/>
              <w:rPr>
                <w:sz w:val="18"/>
                <w:szCs w:val="18"/>
              </w:rPr>
            </w:pPr>
            <w:r w:rsidRPr="00625958">
              <w:rPr>
                <w:sz w:val="18"/>
                <w:szCs w:val="18"/>
              </w:rPr>
              <w:t>Summary of Analysis</w:t>
            </w:r>
          </w:p>
        </w:tc>
      </w:tr>
      <w:tr w:rsidR="00D275E0" w:rsidRPr="00625958" w14:paraId="71610F84" w14:textId="77777777" w:rsidTr="00AF6C9C">
        <w:tc>
          <w:tcPr>
            <w:tcW w:w="14400" w:type="dxa"/>
            <w:gridSpan w:val="2"/>
            <w:tcBorders>
              <w:left w:val="single" w:sz="12" w:space="0" w:color="auto"/>
              <w:right w:val="single" w:sz="12" w:space="0" w:color="auto"/>
            </w:tcBorders>
          </w:tcPr>
          <w:p w14:paraId="6A2A0EEF" w14:textId="34D3736D" w:rsidR="00FE56F6" w:rsidRPr="00625958" w:rsidRDefault="00FE56F6" w:rsidP="00FE56F6">
            <w:pPr>
              <w:spacing w:after="200"/>
              <w:contextualSpacing/>
              <w:rPr>
                <w:b/>
                <w:color w:val="000000" w:themeColor="text1"/>
                <w:sz w:val="18"/>
                <w:szCs w:val="18"/>
                <w:u w:val="single"/>
              </w:rPr>
            </w:pPr>
            <w:r w:rsidRPr="00625958">
              <w:rPr>
                <w:b/>
                <w:color w:val="000000" w:themeColor="text1"/>
                <w:sz w:val="18"/>
                <w:szCs w:val="18"/>
                <w:u w:val="single"/>
              </w:rPr>
              <w:t>J.P. Morgan</w:t>
            </w:r>
            <w:r w:rsidR="007641E2">
              <w:rPr>
                <w:b/>
                <w:color w:val="000000" w:themeColor="text1"/>
                <w:sz w:val="18"/>
                <w:szCs w:val="18"/>
                <w:u w:val="single"/>
              </w:rPr>
              <w:t xml:space="preserve"> </w:t>
            </w:r>
            <w:proofErr w:type="gramStart"/>
            <w:r w:rsidR="007641E2">
              <w:rPr>
                <w:b/>
                <w:color w:val="000000" w:themeColor="text1"/>
                <w:sz w:val="18"/>
                <w:szCs w:val="18"/>
                <w:u w:val="single"/>
              </w:rPr>
              <w:t>SE</w:t>
            </w:r>
            <w:r w:rsidRPr="00625958">
              <w:rPr>
                <w:b/>
                <w:color w:val="000000" w:themeColor="text1"/>
                <w:sz w:val="18"/>
                <w:szCs w:val="18"/>
                <w:u w:val="single"/>
              </w:rPr>
              <w:t xml:space="preserve"> :</w:t>
            </w:r>
            <w:proofErr w:type="gramEnd"/>
            <w:r w:rsidRPr="00625958">
              <w:rPr>
                <w:b/>
                <w:color w:val="000000" w:themeColor="text1"/>
                <w:sz w:val="18"/>
                <w:szCs w:val="18"/>
                <w:u w:val="single"/>
              </w:rPr>
              <w:t xml:space="preserve"> </w:t>
            </w:r>
            <w:r>
              <w:rPr>
                <w:b/>
                <w:color w:val="000000" w:themeColor="text1"/>
                <w:sz w:val="18"/>
                <w:szCs w:val="18"/>
                <w:u w:val="single"/>
              </w:rPr>
              <w:t xml:space="preserve">Agency Securities </w:t>
            </w:r>
            <w:r w:rsidR="00C9488A">
              <w:rPr>
                <w:b/>
                <w:color w:val="000000" w:themeColor="text1"/>
                <w:sz w:val="18"/>
                <w:szCs w:val="18"/>
                <w:u w:val="single"/>
              </w:rPr>
              <w:t>Finance</w:t>
            </w:r>
            <w:r>
              <w:rPr>
                <w:b/>
                <w:color w:val="000000" w:themeColor="text1"/>
                <w:sz w:val="18"/>
                <w:szCs w:val="18"/>
                <w:u w:val="single"/>
              </w:rPr>
              <w:t xml:space="preserve">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00C9488A">
              <w:rPr>
                <w:b/>
                <w:color w:val="000000" w:themeColor="text1"/>
                <w:sz w:val="18"/>
                <w:szCs w:val="18"/>
                <w:u w:val="single"/>
              </w:rPr>
              <w:t>Finance</w:t>
            </w:r>
            <w:r w:rsidRPr="00625958">
              <w:rPr>
                <w:b/>
                <w:color w:val="000000" w:themeColor="text1"/>
                <w:sz w:val="18"/>
                <w:szCs w:val="18"/>
                <w:u w:val="single"/>
              </w:rPr>
              <w:t>”):</w:t>
            </w:r>
          </w:p>
          <w:p w14:paraId="1395855D" w14:textId="77777777" w:rsidR="00FE56F6" w:rsidRDefault="00FE56F6" w:rsidP="00D275E0">
            <w:pPr>
              <w:jc w:val="both"/>
              <w:rPr>
                <w:sz w:val="18"/>
                <w:szCs w:val="18"/>
              </w:rPr>
            </w:pPr>
          </w:p>
          <w:p w14:paraId="18F65504" w14:textId="29BE1978" w:rsidR="00D275E0" w:rsidRDefault="00EB4EBA" w:rsidP="00D275E0">
            <w:pPr>
              <w:jc w:val="both"/>
              <w:rPr>
                <w:sz w:val="18"/>
                <w:szCs w:val="18"/>
              </w:rPr>
            </w:pPr>
            <w:r w:rsidRPr="00D275E0">
              <w:rPr>
                <w:sz w:val="18"/>
                <w:szCs w:val="18"/>
              </w:rPr>
              <w:t>For the year of 202</w:t>
            </w:r>
            <w:r w:rsidR="007641E2">
              <w:rPr>
                <w:sz w:val="18"/>
                <w:szCs w:val="18"/>
              </w:rPr>
              <w:t>2</w:t>
            </w:r>
            <w:r>
              <w:rPr>
                <w:sz w:val="18"/>
                <w:szCs w:val="18"/>
              </w:rPr>
              <w:t>,</w:t>
            </w:r>
            <w:r w:rsidRPr="00D275E0">
              <w:rPr>
                <w:sz w:val="18"/>
                <w:szCs w:val="18"/>
              </w:rPr>
              <w:t xml:space="preserve"> J.P. Morgan Bank</w:t>
            </w:r>
            <w:r w:rsidR="007641E2">
              <w:rPr>
                <w:sz w:val="18"/>
                <w:szCs w:val="18"/>
              </w:rPr>
              <w:t xml:space="preserve"> </w:t>
            </w:r>
            <w:proofErr w:type="gramStart"/>
            <w:r w:rsidR="007641E2">
              <w:rPr>
                <w:sz w:val="18"/>
                <w:szCs w:val="18"/>
              </w:rPr>
              <w:t>SE</w:t>
            </w:r>
            <w:r w:rsidRPr="00D275E0">
              <w:rPr>
                <w:sz w:val="18"/>
                <w:szCs w:val="18"/>
              </w:rPr>
              <w:t xml:space="preserve">  Agency</w:t>
            </w:r>
            <w:proofErr w:type="gramEnd"/>
            <w:r w:rsidRPr="00D275E0">
              <w:rPr>
                <w:sz w:val="18"/>
                <w:szCs w:val="18"/>
              </w:rPr>
              <w:t xml:space="preserve"> Securities </w:t>
            </w:r>
            <w:r w:rsidR="00C9488A" w:rsidRPr="00AB2A57">
              <w:rPr>
                <w:bCs/>
                <w:color w:val="000000" w:themeColor="text1"/>
                <w:sz w:val="18"/>
                <w:szCs w:val="18"/>
              </w:rPr>
              <w:t>Finance</w:t>
            </w:r>
            <w:r w:rsidRPr="00D275E0">
              <w:rPr>
                <w:sz w:val="18"/>
                <w:szCs w:val="18"/>
              </w:rPr>
              <w:t xml:space="preserve"> business operated in an agency capacity. Client orders are defined by the contractual arrangements (Securities Lending Agreement), a ‘</w:t>
            </w:r>
            <w:r w:rsidRPr="00293674">
              <w:rPr>
                <w:sz w:val="18"/>
                <w:szCs w:val="18"/>
              </w:rPr>
              <w:t>standing order’ is received</w:t>
            </w:r>
            <w:r w:rsidRPr="00D275E0">
              <w:rPr>
                <w:sz w:val="18"/>
                <w:szCs w:val="18"/>
              </w:rPr>
              <w:t xml:space="preserve">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79F2C449" w14:textId="10D6BBFB" w:rsidR="00323ABC" w:rsidRPr="00625958" w:rsidRDefault="00323ABC" w:rsidP="00D275E0">
            <w:pPr>
              <w:jc w:val="both"/>
              <w:rPr>
                <w:sz w:val="18"/>
                <w:szCs w:val="18"/>
              </w:rPr>
            </w:pPr>
          </w:p>
        </w:tc>
      </w:tr>
      <w:tr w:rsidR="00FE56F6" w:rsidRPr="00625958" w14:paraId="3CE4B1B4" w14:textId="77777777" w:rsidTr="00AF6C9C">
        <w:tc>
          <w:tcPr>
            <w:tcW w:w="4410" w:type="dxa"/>
            <w:tcBorders>
              <w:left w:val="single" w:sz="12" w:space="0" w:color="auto"/>
            </w:tcBorders>
            <w:shd w:val="clear" w:color="auto" w:fill="D9D9D9" w:themeFill="background1" w:themeFillShade="D9"/>
          </w:tcPr>
          <w:p w14:paraId="339D237B" w14:textId="77777777" w:rsidR="00FE56F6" w:rsidRPr="00625958" w:rsidRDefault="00FE56F6" w:rsidP="00FE56F6">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2E66E825" w14:textId="4BB457E1" w:rsidR="00FE56F6" w:rsidRPr="00625958" w:rsidRDefault="00895EE0" w:rsidP="00FE56F6">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57" w:history="1">
              <w:r w:rsidRPr="00293674">
                <w:rPr>
                  <w:rStyle w:val="Hyperlink"/>
                  <w:sz w:val="18"/>
                  <w:szCs w:val="18"/>
                </w:rPr>
                <w:t>J.P. Morgan EMEA Securities Services: Execution Policy Appendix 4</w:t>
              </w:r>
            </w:hyperlink>
            <w:r>
              <w:rPr>
                <w:sz w:val="18"/>
                <w:szCs w:val="18"/>
              </w:rPr>
              <w:t xml:space="preserve">.  In this policy, page 7 details the considerations for the key execution factors and page 11 details the factors affecting Agency Securities </w:t>
            </w:r>
            <w:r w:rsidRPr="00293674">
              <w:rPr>
                <w:sz w:val="18"/>
                <w:szCs w:val="18"/>
              </w:rPr>
              <w:t>Finance’s</w:t>
            </w:r>
            <w:r>
              <w:rPr>
                <w:sz w:val="18"/>
                <w:szCs w:val="18"/>
              </w:rPr>
              <w:t xml:space="preserve"> choice of execution venues.</w:t>
            </w:r>
          </w:p>
        </w:tc>
      </w:tr>
      <w:tr w:rsidR="00C05144" w:rsidRPr="00293674" w14:paraId="6CCF613F" w14:textId="77777777" w:rsidTr="00AF6C9C">
        <w:trPr>
          <w:trHeight w:val="485"/>
        </w:trPr>
        <w:tc>
          <w:tcPr>
            <w:tcW w:w="4410" w:type="dxa"/>
            <w:tcBorders>
              <w:left w:val="single" w:sz="12" w:space="0" w:color="auto"/>
            </w:tcBorders>
            <w:shd w:val="clear" w:color="auto" w:fill="D9D9D9" w:themeFill="background1" w:themeFillShade="D9"/>
          </w:tcPr>
          <w:p w14:paraId="2C820D33"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shd w:val="clear" w:color="auto" w:fill="auto"/>
          </w:tcPr>
          <w:p w14:paraId="4576B852" w14:textId="32D2E82E" w:rsidR="008B2CEE" w:rsidRDefault="00293674" w:rsidP="00293674">
            <w:pPr>
              <w:rPr>
                <w:sz w:val="18"/>
                <w:szCs w:val="18"/>
              </w:rPr>
            </w:pPr>
            <w:r>
              <w:rPr>
                <w:sz w:val="18"/>
                <w:szCs w:val="18"/>
              </w:rPr>
              <w:t>J.P. Morgan</w:t>
            </w:r>
            <w:r w:rsidR="007641E2">
              <w:rPr>
                <w:sz w:val="18"/>
                <w:szCs w:val="18"/>
              </w:rPr>
              <w:t xml:space="preserve"> SE</w:t>
            </w:r>
            <w:r>
              <w:rPr>
                <w:sz w:val="18"/>
                <w:szCs w:val="18"/>
              </w:rPr>
              <w:t xml:space="preserve"> is a fully owned subsidiary of JPMorgan Chase &amp; Co.</w:t>
            </w:r>
          </w:p>
          <w:p w14:paraId="6021FF35" w14:textId="77777777" w:rsidR="00B65385" w:rsidRDefault="00B65385" w:rsidP="00293674">
            <w:pPr>
              <w:rPr>
                <w:sz w:val="18"/>
                <w:szCs w:val="18"/>
              </w:rPr>
            </w:pPr>
          </w:p>
          <w:p w14:paraId="719B6487" w14:textId="716C8055" w:rsidR="007641E2" w:rsidRPr="00293674" w:rsidRDefault="007641E2" w:rsidP="00293674">
            <w:pPr>
              <w:rPr>
                <w:sz w:val="18"/>
                <w:szCs w:val="18"/>
              </w:rPr>
            </w:pPr>
            <w:r w:rsidRPr="00683402">
              <w:rPr>
                <w:bCs/>
                <w:color w:val="000000" w:themeColor="text1"/>
                <w:sz w:val="18"/>
                <w:szCs w:val="18"/>
              </w:rPr>
              <w:t>J.P. Morgan</w:t>
            </w:r>
            <w:r>
              <w:rPr>
                <w:bCs/>
                <w:color w:val="000000" w:themeColor="text1"/>
                <w:sz w:val="18"/>
                <w:szCs w:val="18"/>
              </w:rPr>
              <w:t xml:space="preserve"> SE</w:t>
            </w:r>
            <w:r w:rsidRPr="00683402">
              <w:rPr>
                <w:bCs/>
                <w:color w:val="000000" w:themeColor="text1"/>
                <w:sz w:val="18"/>
                <w:szCs w:val="18"/>
              </w:rPr>
              <w:t xml:space="preserve"> did not have any execution venue close links, conflicts of interest or common ownerships for the year of 202</w:t>
            </w:r>
            <w:r>
              <w:rPr>
                <w:bCs/>
                <w:color w:val="000000" w:themeColor="text1"/>
                <w:sz w:val="18"/>
                <w:szCs w:val="18"/>
              </w:rPr>
              <w:t>2</w:t>
            </w:r>
          </w:p>
          <w:p w14:paraId="22F359F9" w14:textId="5F45AEA5" w:rsidR="002F2FB9" w:rsidRPr="00293674" w:rsidRDefault="002F2FB9" w:rsidP="00293674">
            <w:pPr>
              <w:rPr>
                <w:sz w:val="18"/>
                <w:szCs w:val="18"/>
              </w:rPr>
            </w:pPr>
          </w:p>
        </w:tc>
      </w:tr>
      <w:tr w:rsidR="00BD4745" w:rsidRPr="00625958" w14:paraId="2DCABE8A" w14:textId="77777777" w:rsidTr="00AF6C9C">
        <w:tc>
          <w:tcPr>
            <w:tcW w:w="4410" w:type="dxa"/>
            <w:tcBorders>
              <w:left w:val="single" w:sz="12" w:space="0" w:color="auto"/>
            </w:tcBorders>
            <w:shd w:val="clear" w:color="auto" w:fill="D9D9D9" w:themeFill="background1" w:themeFillShade="D9"/>
          </w:tcPr>
          <w:p w14:paraId="6AD2AC23" w14:textId="77777777" w:rsidR="00BD4745" w:rsidRPr="00625958" w:rsidRDefault="00BD4745" w:rsidP="00BD4745">
            <w:pPr>
              <w:rPr>
                <w:sz w:val="18"/>
                <w:szCs w:val="18"/>
              </w:rPr>
            </w:pPr>
            <w:r w:rsidRPr="00625958">
              <w:rPr>
                <w:sz w:val="18"/>
                <w:szCs w:val="18"/>
              </w:rPr>
              <w:t>Specific execution venue arrangements</w:t>
            </w:r>
          </w:p>
        </w:tc>
        <w:tc>
          <w:tcPr>
            <w:tcW w:w="9990" w:type="dxa"/>
            <w:tcBorders>
              <w:right w:val="single" w:sz="12" w:space="0" w:color="auto"/>
            </w:tcBorders>
          </w:tcPr>
          <w:p w14:paraId="0FD42AAF" w14:textId="675D7B94" w:rsidR="002F2FB9" w:rsidRDefault="007641E2" w:rsidP="00293674">
            <w:pPr>
              <w:rPr>
                <w:sz w:val="18"/>
                <w:szCs w:val="18"/>
              </w:rPr>
            </w:pPr>
            <w:r>
              <w:rPr>
                <w:iCs/>
                <w:sz w:val="18"/>
                <w:szCs w:val="18"/>
              </w:rPr>
              <w:t>J.P. Morgan SE did not have any specific execution venue arrangements for the year of 2022</w:t>
            </w:r>
          </w:p>
          <w:p w14:paraId="62CB56B8" w14:textId="4AA750D0" w:rsidR="00293674" w:rsidRPr="00625958" w:rsidRDefault="00293674" w:rsidP="00293674">
            <w:pPr>
              <w:rPr>
                <w:sz w:val="18"/>
                <w:szCs w:val="18"/>
              </w:rPr>
            </w:pPr>
          </w:p>
        </w:tc>
      </w:tr>
      <w:tr w:rsidR="00055F5C" w:rsidRPr="00625958" w14:paraId="5CB74EC0" w14:textId="77777777" w:rsidTr="00AF6C9C">
        <w:trPr>
          <w:trHeight w:val="368"/>
        </w:trPr>
        <w:tc>
          <w:tcPr>
            <w:tcW w:w="4410" w:type="dxa"/>
            <w:tcBorders>
              <w:left w:val="single" w:sz="12" w:space="0" w:color="auto"/>
            </w:tcBorders>
            <w:shd w:val="clear" w:color="auto" w:fill="D9D9D9" w:themeFill="background1" w:themeFillShade="D9"/>
          </w:tcPr>
          <w:p w14:paraId="55FC8AF9" w14:textId="77777777" w:rsidR="00055F5C" w:rsidRPr="00625958" w:rsidRDefault="00055F5C" w:rsidP="00055F5C">
            <w:pPr>
              <w:rPr>
                <w:sz w:val="18"/>
                <w:szCs w:val="18"/>
              </w:rPr>
            </w:pPr>
            <w:r w:rsidRPr="00625958">
              <w:rPr>
                <w:sz w:val="18"/>
                <w:szCs w:val="18"/>
              </w:rPr>
              <w:t>Changes to execution venues</w:t>
            </w:r>
          </w:p>
        </w:tc>
        <w:tc>
          <w:tcPr>
            <w:tcW w:w="9990" w:type="dxa"/>
            <w:tcBorders>
              <w:right w:val="single" w:sz="12" w:space="0" w:color="auto"/>
            </w:tcBorders>
          </w:tcPr>
          <w:p w14:paraId="546C604D" w14:textId="010EA32A" w:rsidR="00055F5C" w:rsidRPr="00625958" w:rsidRDefault="00055F5C" w:rsidP="00055F5C">
            <w:pPr>
              <w:spacing w:after="120"/>
              <w:rPr>
                <w:sz w:val="18"/>
                <w:szCs w:val="18"/>
              </w:rPr>
            </w:pPr>
            <w:r>
              <w:rPr>
                <w:sz w:val="18"/>
                <w:szCs w:val="18"/>
              </w:rPr>
              <w:t xml:space="preserve">No change to execution venues. The list of execution venues can be found within the </w:t>
            </w:r>
            <w:hyperlink r:id="rId58" w:history="1">
              <w:r>
                <w:rPr>
                  <w:rStyle w:val="Hyperlink"/>
                  <w:sz w:val="18"/>
                  <w:szCs w:val="18"/>
                </w:rPr>
                <w:t>Disclosures</w:t>
              </w:r>
            </w:hyperlink>
            <w:r>
              <w:rPr>
                <w:sz w:val="18"/>
                <w:szCs w:val="18"/>
              </w:rPr>
              <w:t xml:space="preserve"> section of the Execution Policy -  </w:t>
            </w:r>
            <w:hyperlink r:id="rId59" w:history="1">
              <w:r w:rsidRPr="00FD2FC6">
                <w:rPr>
                  <w:rStyle w:val="Hyperlink"/>
                  <w:sz w:val="18"/>
                  <w:szCs w:val="18"/>
                </w:rPr>
                <w:t>Appendix 1 - List of Execution Venues</w:t>
              </w:r>
            </w:hyperlink>
            <w:r>
              <w:rPr>
                <w:sz w:val="18"/>
                <w:szCs w:val="18"/>
              </w:rPr>
              <w:t xml:space="preserve">.  </w:t>
            </w:r>
          </w:p>
        </w:tc>
      </w:tr>
      <w:tr w:rsidR="00A855BD" w:rsidRPr="00625958" w14:paraId="58B1CC57" w14:textId="77777777" w:rsidTr="00AF6C9C">
        <w:tc>
          <w:tcPr>
            <w:tcW w:w="4410" w:type="dxa"/>
            <w:tcBorders>
              <w:left w:val="single" w:sz="12" w:space="0" w:color="auto"/>
            </w:tcBorders>
            <w:shd w:val="clear" w:color="auto" w:fill="D9D9D9" w:themeFill="background1" w:themeFillShade="D9"/>
          </w:tcPr>
          <w:p w14:paraId="7F550159" w14:textId="77777777" w:rsidR="00A855BD" w:rsidRPr="00625958" w:rsidRDefault="00A855BD" w:rsidP="00A855BD">
            <w:pPr>
              <w:rPr>
                <w:sz w:val="18"/>
                <w:szCs w:val="18"/>
              </w:rPr>
            </w:pPr>
            <w:r w:rsidRPr="00625958">
              <w:rPr>
                <w:sz w:val="18"/>
                <w:szCs w:val="18"/>
              </w:rPr>
              <w:t>Client distinctions</w:t>
            </w:r>
          </w:p>
        </w:tc>
        <w:tc>
          <w:tcPr>
            <w:tcW w:w="9990" w:type="dxa"/>
            <w:tcBorders>
              <w:right w:val="single" w:sz="12" w:space="0" w:color="auto"/>
            </w:tcBorders>
          </w:tcPr>
          <w:p w14:paraId="02E5F828" w14:textId="77777777" w:rsidR="00A855BD" w:rsidRDefault="00A855BD" w:rsidP="00A855BD">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4B6DC01E" w14:textId="77777777" w:rsidR="00A855BD" w:rsidRDefault="00A855BD" w:rsidP="00A855BD">
            <w:pPr>
              <w:spacing w:after="120"/>
              <w:rPr>
                <w:sz w:val="18"/>
                <w:szCs w:val="18"/>
              </w:rPr>
            </w:pPr>
            <w:r>
              <w:rPr>
                <w:sz w:val="18"/>
                <w:szCs w:val="18"/>
              </w:rPr>
              <w:t xml:space="preserve">JPMSE CIB only deals with Professional Clients. </w:t>
            </w:r>
          </w:p>
          <w:p w14:paraId="4C701179" w14:textId="77777777" w:rsidR="00A855BD" w:rsidRDefault="00A855BD" w:rsidP="00A855BD">
            <w:pPr>
              <w:rPr>
                <w:sz w:val="18"/>
                <w:szCs w:val="18"/>
              </w:rPr>
            </w:pPr>
            <w:r>
              <w:rPr>
                <w:sz w:val="18"/>
                <w:szCs w:val="18"/>
              </w:rPr>
              <w:t xml:space="preserve">However, JPMSE PB deals with both Professional and Retail Clients and its Best Execution disclosures can be found </w:t>
            </w:r>
            <w:hyperlink r:id="rId60" w:history="1">
              <w:r>
                <w:rPr>
                  <w:rStyle w:val="Hyperlink"/>
                  <w:sz w:val="18"/>
                  <w:szCs w:val="18"/>
                </w:rPr>
                <w:t>here</w:t>
              </w:r>
            </w:hyperlink>
            <w:r>
              <w:rPr>
                <w:sz w:val="18"/>
                <w:szCs w:val="18"/>
              </w:rPr>
              <w:t>.</w:t>
            </w:r>
          </w:p>
          <w:p w14:paraId="7B21BF38" w14:textId="6E194B98" w:rsidR="00A855BD" w:rsidRPr="0081289B" w:rsidRDefault="00A855BD" w:rsidP="00A855BD">
            <w:pPr>
              <w:spacing w:after="120"/>
              <w:rPr>
                <w:sz w:val="18"/>
                <w:szCs w:val="18"/>
                <w:highlight w:val="yellow"/>
              </w:rPr>
            </w:pPr>
          </w:p>
        </w:tc>
      </w:tr>
      <w:tr w:rsidR="00A855BD" w:rsidRPr="00625958" w14:paraId="1F4C39CC" w14:textId="77777777" w:rsidTr="00AF6C9C">
        <w:tc>
          <w:tcPr>
            <w:tcW w:w="4410" w:type="dxa"/>
            <w:tcBorders>
              <w:left w:val="single" w:sz="12" w:space="0" w:color="auto"/>
            </w:tcBorders>
            <w:shd w:val="clear" w:color="auto" w:fill="D9D9D9" w:themeFill="background1" w:themeFillShade="D9"/>
          </w:tcPr>
          <w:p w14:paraId="1A0FE459" w14:textId="2FFB0017" w:rsidR="00A855BD" w:rsidRPr="00625958" w:rsidRDefault="00A855BD" w:rsidP="00A855BD">
            <w:pPr>
              <w:rPr>
                <w:sz w:val="18"/>
                <w:szCs w:val="18"/>
              </w:rPr>
            </w:pPr>
            <w:r>
              <w:rPr>
                <w:sz w:val="18"/>
                <w:szCs w:val="18"/>
              </w:rPr>
              <w:t>Retail client orders</w:t>
            </w:r>
          </w:p>
        </w:tc>
        <w:tc>
          <w:tcPr>
            <w:tcW w:w="9990" w:type="dxa"/>
            <w:tcBorders>
              <w:right w:val="single" w:sz="12" w:space="0" w:color="auto"/>
            </w:tcBorders>
          </w:tcPr>
          <w:p w14:paraId="6EB7E154" w14:textId="7E2AF460" w:rsidR="00A855BD" w:rsidRPr="0081289B" w:rsidRDefault="00A855BD" w:rsidP="00A855BD">
            <w:pPr>
              <w:spacing w:after="120"/>
              <w:rPr>
                <w:sz w:val="18"/>
                <w:szCs w:val="18"/>
                <w:highlight w:val="yellow"/>
              </w:rPr>
            </w:pPr>
            <w:r w:rsidRPr="00EC5BE7">
              <w:rPr>
                <w:sz w:val="18"/>
                <w:szCs w:val="18"/>
              </w:rPr>
              <w:t>See above</w:t>
            </w:r>
          </w:p>
        </w:tc>
      </w:tr>
      <w:tr w:rsidR="00A855BD" w:rsidRPr="00625958" w14:paraId="3F49F834" w14:textId="77777777" w:rsidTr="00AF6C9C">
        <w:tc>
          <w:tcPr>
            <w:tcW w:w="4410" w:type="dxa"/>
            <w:tcBorders>
              <w:left w:val="single" w:sz="12" w:space="0" w:color="auto"/>
            </w:tcBorders>
            <w:shd w:val="clear" w:color="auto" w:fill="D9D9D9" w:themeFill="background1" w:themeFillShade="D9"/>
          </w:tcPr>
          <w:p w14:paraId="37F90F55" w14:textId="77777777" w:rsidR="00A855BD" w:rsidRPr="00625958" w:rsidRDefault="00A855BD" w:rsidP="00A855BD">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59D56E73" w14:textId="5018121C" w:rsidR="00A855BD" w:rsidRDefault="00A855BD" w:rsidP="00A855BD">
            <w:pPr>
              <w:rPr>
                <w:color w:val="000000"/>
                <w:sz w:val="18"/>
                <w:szCs w:val="18"/>
              </w:rPr>
            </w:pPr>
            <w:r>
              <w:rPr>
                <w:color w:val="000000"/>
                <w:sz w:val="18"/>
                <w:szCs w:val="18"/>
                <w:u w:val="single"/>
              </w:rPr>
              <w:t xml:space="preserve">Securities financing transactions (SFTs): </w:t>
            </w:r>
            <w:r w:rsidRPr="00625958">
              <w:rPr>
                <w:sz w:val="18"/>
                <w:szCs w:val="18"/>
              </w:rPr>
              <w:t xml:space="preserve"> J.P. Morgan</w:t>
            </w:r>
            <w:r>
              <w:rPr>
                <w:sz w:val="18"/>
                <w:szCs w:val="18"/>
              </w:rPr>
              <w:t xml:space="preserve"> SE</w:t>
            </w:r>
            <w:r w:rsidRPr="00625958">
              <w:rPr>
                <w:sz w:val="18"/>
                <w:szCs w:val="18"/>
              </w:rPr>
              <w:t xml:space="preserve"> </w:t>
            </w:r>
            <w:r>
              <w:rPr>
                <w:color w:val="000000"/>
                <w:sz w:val="18"/>
                <w:szCs w:val="18"/>
              </w:rPr>
              <w:t>assessed the fairness of pricing of loans subject to Best Execution by comparing open loan fees and rebates to rates supplied by third party vendors.</w:t>
            </w:r>
          </w:p>
          <w:p w14:paraId="68CDEEAB" w14:textId="3FE85BD7" w:rsidR="00A855BD" w:rsidRPr="00625958" w:rsidRDefault="00A855BD" w:rsidP="00A855BD">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w:t>
            </w:r>
            <w:r>
              <w:rPr>
                <w:sz w:val="18"/>
                <w:szCs w:val="18"/>
              </w:rPr>
              <w:t xml:space="preserve"> SE</w:t>
            </w:r>
            <w:r w:rsidRPr="00625958">
              <w:rPr>
                <w:sz w:val="18"/>
                <w:szCs w:val="18"/>
              </w:rPr>
              <w:t xml:space="preserve"> </w:t>
            </w:r>
            <w:r>
              <w:rPr>
                <w:sz w:val="18"/>
                <w:szCs w:val="18"/>
              </w:rPr>
              <w:t xml:space="preserve">assessed the fairness of pricing of transactions subject to </w:t>
            </w:r>
            <w:r w:rsidRPr="00127EE3">
              <w:rPr>
                <w:sz w:val="18"/>
                <w:szCs w:val="18"/>
              </w:rPr>
              <w:t>Best Execution</w:t>
            </w:r>
            <w:r>
              <w:rPr>
                <w:sz w:val="18"/>
                <w:szCs w:val="18"/>
              </w:rPr>
              <w:t xml:space="preserve"> by evaluating Term investment executions against different external reference prices.</w:t>
            </w:r>
          </w:p>
        </w:tc>
      </w:tr>
      <w:tr w:rsidR="00A855BD" w:rsidRPr="00625958" w14:paraId="10A391B6" w14:textId="77777777" w:rsidTr="00AF6C9C">
        <w:trPr>
          <w:trHeight w:val="782"/>
        </w:trPr>
        <w:tc>
          <w:tcPr>
            <w:tcW w:w="4410" w:type="dxa"/>
            <w:tcBorders>
              <w:left w:val="single" w:sz="12" w:space="0" w:color="auto"/>
            </w:tcBorders>
            <w:shd w:val="clear" w:color="auto" w:fill="D9D9D9" w:themeFill="background1" w:themeFillShade="D9"/>
          </w:tcPr>
          <w:p w14:paraId="13C3B3D1" w14:textId="77777777" w:rsidR="00A855BD" w:rsidRPr="00625958" w:rsidRDefault="00A855BD" w:rsidP="00A855BD">
            <w:pPr>
              <w:rPr>
                <w:sz w:val="18"/>
                <w:szCs w:val="18"/>
              </w:rPr>
            </w:pPr>
            <w:r w:rsidRPr="00625958">
              <w:rPr>
                <w:sz w:val="18"/>
                <w:szCs w:val="18"/>
              </w:rPr>
              <w:lastRenderedPageBreak/>
              <w:t>Use of consolidated tape provider output or other algorithms to assess execution performances</w:t>
            </w:r>
          </w:p>
        </w:tc>
        <w:tc>
          <w:tcPr>
            <w:tcW w:w="9990" w:type="dxa"/>
            <w:tcBorders>
              <w:right w:val="single" w:sz="12" w:space="0" w:color="auto"/>
            </w:tcBorders>
            <w:shd w:val="clear" w:color="auto" w:fill="auto"/>
          </w:tcPr>
          <w:p w14:paraId="55D612FF" w14:textId="5B874186" w:rsidR="00A855BD" w:rsidRPr="00127EE3" w:rsidRDefault="00A855BD" w:rsidP="00A855BD">
            <w:pPr>
              <w:spacing w:after="120"/>
              <w:rPr>
                <w:sz w:val="18"/>
                <w:szCs w:val="18"/>
              </w:rPr>
            </w:pPr>
            <w:r>
              <w:rPr>
                <w:sz w:val="18"/>
                <w:szCs w:val="18"/>
              </w:rPr>
              <w:t xml:space="preserve"> J.P. Morgan SE did not use consolidated tape provider output or other algorithms to assess execution performances for the year of 2022.</w:t>
            </w:r>
          </w:p>
        </w:tc>
      </w:tr>
    </w:tbl>
    <w:p w14:paraId="4D96943B" w14:textId="77777777" w:rsidR="00AF6C9C" w:rsidRDefault="00AF6C9C">
      <w:r>
        <w:br w:type="page"/>
      </w:r>
    </w:p>
    <w:tbl>
      <w:tblPr>
        <w:tblStyle w:val="TableGrid"/>
        <w:tblpPr w:leftFromText="180" w:rightFromText="180" w:vertAnchor="page" w:horzAnchor="margin" w:tblpXSpec="right" w:tblpY="1557"/>
        <w:tblW w:w="13950" w:type="dxa"/>
        <w:tblLook w:val="04A0" w:firstRow="1" w:lastRow="0" w:firstColumn="1" w:lastColumn="0" w:noHBand="0" w:noVBand="1"/>
      </w:tblPr>
      <w:tblGrid>
        <w:gridCol w:w="4110"/>
        <w:gridCol w:w="9840"/>
      </w:tblGrid>
      <w:tr w:rsidR="00270099" w:rsidRPr="00625958" w14:paraId="5BDA081B" w14:textId="77777777" w:rsidTr="00A55B52">
        <w:tc>
          <w:tcPr>
            <w:tcW w:w="41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4E8A204" w14:textId="77777777" w:rsidR="00270099" w:rsidRPr="00625958" w:rsidRDefault="00270099" w:rsidP="003D2FE7">
            <w:pPr>
              <w:rPr>
                <w:sz w:val="18"/>
                <w:szCs w:val="18"/>
              </w:rPr>
            </w:pPr>
            <w:r w:rsidRPr="00625958">
              <w:rPr>
                <w:sz w:val="18"/>
                <w:szCs w:val="18"/>
              </w:rPr>
              <w:lastRenderedPageBreak/>
              <w:t>Legal Entity</w:t>
            </w:r>
          </w:p>
        </w:tc>
        <w:tc>
          <w:tcPr>
            <w:tcW w:w="9840" w:type="dxa"/>
            <w:tcBorders>
              <w:top w:val="single" w:sz="12" w:space="0" w:color="auto"/>
              <w:left w:val="single" w:sz="4" w:space="0" w:color="auto"/>
              <w:bottom w:val="single" w:sz="12" w:space="0" w:color="auto"/>
              <w:right w:val="single" w:sz="12" w:space="0" w:color="auto"/>
            </w:tcBorders>
          </w:tcPr>
          <w:p w14:paraId="1B9C724F" w14:textId="77777777" w:rsidR="00270099" w:rsidRPr="00625958" w:rsidRDefault="00270099" w:rsidP="003D2FE7">
            <w:pPr>
              <w:ind w:right="432"/>
              <w:rPr>
                <w:sz w:val="18"/>
                <w:szCs w:val="18"/>
              </w:rPr>
            </w:pPr>
            <w:r w:rsidRPr="00625958">
              <w:rPr>
                <w:sz w:val="18"/>
                <w:szCs w:val="18"/>
              </w:rPr>
              <w:t>J.P. Morgan</w:t>
            </w:r>
            <w:r>
              <w:rPr>
                <w:sz w:val="18"/>
                <w:szCs w:val="18"/>
              </w:rPr>
              <w:t xml:space="preserve"> SE</w:t>
            </w:r>
            <w:r w:rsidRPr="00625958">
              <w:rPr>
                <w:sz w:val="18"/>
                <w:szCs w:val="18"/>
              </w:rPr>
              <w:t xml:space="preserve"> (</w:t>
            </w:r>
            <w:r w:rsidRPr="009C7DAE">
              <w:rPr>
                <w:sz w:val="18"/>
                <w:szCs w:val="18"/>
              </w:rPr>
              <w:t>549300ZK53CNGEEI6A</w:t>
            </w:r>
            <w:proofErr w:type="gramStart"/>
            <w:r w:rsidRPr="009C7DAE">
              <w:rPr>
                <w:sz w:val="18"/>
                <w:szCs w:val="18"/>
              </w:rPr>
              <w:t>29</w:t>
            </w:r>
            <w:r w:rsidRPr="00625958">
              <w:rPr>
                <w:sz w:val="18"/>
                <w:szCs w:val="18"/>
              </w:rPr>
              <w:t>)</w:t>
            </w:r>
            <w:r>
              <w:rPr>
                <w:sz w:val="18"/>
                <w:szCs w:val="18"/>
              </w:rPr>
              <w:t>*</w:t>
            </w:r>
            <w:proofErr w:type="gramEnd"/>
          </w:p>
        </w:tc>
      </w:tr>
      <w:tr w:rsidR="00270099" w:rsidRPr="00625958" w14:paraId="32947E6B" w14:textId="77777777" w:rsidTr="00A55B52">
        <w:tc>
          <w:tcPr>
            <w:tcW w:w="41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675D19E" w14:textId="77777777" w:rsidR="00270099" w:rsidRPr="00625958" w:rsidRDefault="00270099" w:rsidP="003D2FE7">
            <w:pPr>
              <w:rPr>
                <w:sz w:val="18"/>
                <w:szCs w:val="18"/>
              </w:rPr>
            </w:pPr>
            <w:r w:rsidRPr="00625958">
              <w:rPr>
                <w:sz w:val="18"/>
                <w:szCs w:val="18"/>
              </w:rPr>
              <w:t>Class of Instrument</w:t>
            </w:r>
          </w:p>
        </w:tc>
        <w:tc>
          <w:tcPr>
            <w:tcW w:w="9840" w:type="dxa"/>
            <w:tcBorders>
              <w:top w:val="single" w:sz="12" w:space="0" w:color="auto"/>
              <w:left w:val="single" w:sz="4" w:space="0" w:color="auto"/>
              <w:bottom w:val="single" w:sz="12" w:space="0" w:color="auto"/>
              <w:right w:val="single" w:sz="12" w:space="0" w:color="auto"/>
            </w:tcBorders>
          </w:tcPr>
          <w:p w14:paraId="00F78420" w14:textId="77777777" w:rsidR="00270099" w:rsidRPr="00625958" w:rsidRDefault="00270099" w:rsidP="003D2FE7">
            <w:pPr>
              <w:rPr>
                <w:color w:val="0000FF"/>
                <w:sz w:val="18"/>
                <w:szCs w:val="18"/>
              </w:rPr>
            </w:pPr>
            <w:r w:rsidRPr="00625958">
              <w:rPr>
                <w:sz w:val="18"/>
                <w:szCs w:val="18"/>
                <w:lang w:val="en-US"/>
              </w:rPr>
              <w:t xml:space="preserve">Other </w:t>
            </w:r>
            <w:r>
              <w:rPr>
                <w:sz w:val="18"/>
                <w:szCs w:val="18"/>
                <w:lang w:val="en-US"/>
              </w:rPr>
              <w:t>i</w:t>
            </w:r>
            <w:r w:rsidRPr="00625958">
              <w:rPr>
                <w:sz w:val="18"/>
                <w:szCs w:val="18"/>
                <w:lang w:val="en-US"/>
              </w:rPr>
              <w:t xml:space="preserve">nstruments </w:t>
            </w:r>
          </w:p>
        </w:tc>
      </w:tr>
      <w:tr w:rsidR="00270099" w:rsidRPr="00625958" w14:paraId="134B9F48" w14:textId="77777777" w:rsidTr="00A55B52">
        <w:tc>
          <w:tcPr>
            <w:tcW w:w="13950" w:type="dxa"/>
            <w:gridSpan w:val="2"/>
            <w:tcBorders>
              <w:top w:val="single" w:sz="12" w:space="0" w:color="auto"/>
              <w:left w:val="single" w:sz="12" w:space="0" w:color="auto"/>
              <w:right w:val="single" w:sz="12" w:space="0" w:color="auto"/>
            </w:tcBorders>
            <w:shd w:val="clear" w:color="auto" w:fill="D9D9D9" w:themeFill="background1" w:themeFillShade="D9"/>
          </w:tcPr>
          <w:p w14:paraId="05C28A98" w14:textId="77777777" w:rsidR="00270099" w:rsidRPr="00625958" w:rsidRDefault="00270099" w:rsidP="003D2FE7">
            <w:pPr>
              <w:jc w:val="center"/>
              <w:rPr>
                <w:sz w:val="18"/>
                <w:szCs w:val="18"/>
              </w:rPr>
            </w:pPr>
            <w:r w:rsidRPr="00625958">
              <w:rPr>
                <w:sz w:val="18"/>
                <w:szCs w:val="18"/>
              </w:rPr>
              <w:t>Summary of Analysis</w:t>
            </w:r>
          </w:p>
        </w:tc>
      </w:tr>
      <w:tr w:rsidR="00270099" w:rsidRPr="00625958" w14:paraId="7F0F8D31" w14:textId="77777777" w:rsidTr="00A55B52">
        <w:tc>
          <w:tcPr>
            <w:tcW w:w="13950" w:type="dxa"/>
            <w:gridSpan w:val="2"/>
            <w:tcBorders>
              <w:left w:val="single" w:sz="12" w:space="0" w:color="auto"/>
              <w:right w:val="single" w:sz="12" w:space="0" w:color="auto"/>
            </w:tcBorders>
          </w:tcPr>
          <w:p w14:paraId="0E2D43DD" w14:textId="77777777" w:rsidR="00270099" w:rsidRPr="00625958" w:rsidRDefault="00270099" w:rsidP="003D2FE7">
            <w:pPr>
              <w:spacing w:after="200"/>
              <w:contextualSpacing/>
              <w:rPr>
                <w:b/>
                <w:color w:val="000000" w:themeColor="text1"/>
                <w:sz w:val="18"/>
                <w:szCs w:val="18"/>
                <w:u w:val="single"/>
              </w:rPr>
            </w:pPr>
            <w:r w:rsidRPr="00625958">
              <w:rPr>
                <w:b/>
                <w:color w:val="000000" w:themeColor="text1"/>
                <w:sz w:val="18"/>
                <w:szCs w:val="18"/>
                <w:u w:val="single"/>
              </w:rPr>
              <w:t xml:space="preserve">J.P. Morgan </w:t>
            </w:r>
            <w:r>
              <w:rPr>
                <w:b/>
                <w:color w:val="000000" w:themeColor="text1"/>
                <w:sz w:val="18"/>
                <w:szCs w:val="18"/>
                <w:u w:val="single"/>
              </w:rPr>
              <w:t>SE</w:t>
            </w:r>
            <w:r w:rsidRPr="00625958">
              <w:rPr>
                <w:b/>
                <w:color w:val="000000" w:themeColor="text1"/>
                <w:sz w:val="18"/>
                <w:szCs w:val="18"/>
                <w:u w:val="single"/>
              </w:rPr>
              <w:t xml:space="preserve">: </w:t>
            </w:r>
            <w:r>
              <w:rPr>
                <w:b/>
                <w:color w:val="000000" w:themeColor="text1"/>
                <w:sz w:val="18"/>
                <w:szCs w:val="18"/>
                <w:u w:val="single"/>
              </w:rPr>
              <w:t xml:space="preserve">Agency Securities Finance business </w:t>
            </w:r>
            <w:r w:rsidRPr="00625958">
              <w:rPr>
                <w:b/>
                <w:color w:val="000000" w:themeColor="text1"/>
                <w:sz w:val="18"/>
                <w:szCs w:val="18"/>
                <w:u w:val="single"/>
              </w:rPr>
              <w:t xml:space="preserve">(“Agency </w:t>
            </w:r>
            <w:r>
              <w:rPr>
                <w:b/>
                <w:color w:val="000000" w:themeColor="text1"/>
                <w:sz w:val="18"/>
                <w:szCs w:val="18"/>
                <w:u w:val="single"/>
              </w:rPr>
              <w:t>Securities Finance</w:t>
            </w:r>
            <w:r w:rsidRPr="00625958">
              <w:rPr>
                <w:b/>
                <w:color w:val="000000" w:themeColor="text1"/>
                <w:sz w:val="18"/>
                <w:szCs w:val="18"/>
                <w:u w:val="single"/>
              </w:rPr>
              <w:t>”):</w:t>
            </w:r>
          </w:p>
          <w:p w14:paraId="79912A08" w14:textId="77777777" w:rsidR="00270099" w:rsidRDefault="00270099" w:rsidP="003D2FE7">
            <w:pPr>
              <w:jc w:val="both"/>
              <w:rPr>
                <w:sz w:val="18"/>
                <w:szCs w:val="18"/>
              </w:rPr>
            </w:pPr>
            <w:r w:rsidRPr="00D275E0">
              <w:rPr>
                <w:sz w:val="18"/>
                <w:szCs w:val="18"/>
              </w:rPr>
              <w:t>For the year of 202</w:t>
            </w:r>
            <w:r>
              <w:rPr>
                <w:sz w:val="18"/>
                <w:szCs w:val="18"/>
              </w:rPr>
              <w:t>2,</w:t>
            </w:r>
            <w:r w:rsidRPr="00D275E0">
              <w:rPr>
                <w:sz w:val="18"/>
                <w:szCs w:val="18"/>
              </w:rPr>
              <w:t xml:space="preserve"> J.P. Morgan </w:t>
            </w:r>
            <w:r>
              <w:rPr>
                <w:sz w:val="18"/>
                <w:szCs w:val="18"/>
              </w:rPr>
              <w:t xml:space="preserve">SE </w:t>
            </w:r>
            <w:r w:rsidRPr="00D275E0">
              <w:rPr>
                <w:sz w:val="18"/>
                <w:szCs w:val="18"/>
              </w:rPr>
              <w:t xml:space="preserve">Agency Securities </w:t>
            </w:r>
            <w:r>
              <w:rPr>
                <w:sz w:val="18"/>
                <w:szCs w:val="18"/>
              </w:rPr>
              <w:t>Finance</w:t>
            </w:r>
            <w:r w:rsidRPr="00D275E0">
              <w:rPr>
                <w:sz w:val="18"/>
                <w:szCs w:val="18"/>
              </w:rPr>
              <w:t xml:space="preserve">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p w14:paraId="51067050" w14:textId="77777777" w:rsidR="00270099" w:rsidRPr="00625958" w:rsidRDefault="00270099" w:rsidP="003D2FE7">
            <w:pPr>
              <w:jc w:val="both"/>
              <w:rPr>
                <w:sz w:val="18"/>
                <w:szCs w:val="18"/>
              </w:rPr>
            </w:pPr>
          </w:p>
        </w:tc>
      </w:tr>
      <w:tr w:rsidR="00270099" w:rsidRPr="00625958" w14:paraId="0C5466E4" w14:textId="77777777" w:rsidTr="00A55B52">
        <w:tc>
          <w:tcPr>
            <w:tcW w:w="4110" w:type="dxa"/>
            <w:tcBorders>
              <w:left w:val="single" w:sz="12" w:space="0" w:color="auto"/>
            </w:tcBorders>
            <w:shd w:val="clear" w:color="auto" w:fill="D9D9D9" w:themeFill="background1" w:themeFillShade="D9"/>
          </w:tcPr>
          <w:p w14:paraId="12A892BB" w14:textId="77777777" w:rsidR="00270099" w:rsidRPr="00625958" w:rsidRDefault="00270099" w:rsidP="003D2FE7">
            <w:pPr>
              <w:rPr>
                <w:sz w:val="18"/>
                <w:szCs w:val="18"/>
              </w:rPr>
            </w:pPr>
            <w:r w:rsidRPr="00625958">
              <w:rPr>
                <w:sz w:val="18"/>
                <w:szCs w:val="18"/>
              </w:rPr>
              <w:t>Relative importance given to execution factors &amp; other considerations</w:t>
            </w:r>
          </w:p>
        </w:tc>
        <w:tc>
          <w:tcPr>
            <w:tcW w:w="9840" w:type="dxa"/>
            <w:tcBorders>
              <w:right w:val="single" w:sz="12" w:space="0" w:color="auto"/>
            </w:tcBorders>
            <w:shd w:val="clear" w:color="auto" w:fill="auto"/>
          </w:tcPr>
          <w:p w14:paraId="6811C235" w14:textId="77777777" w:rsidR="00270099" w:rsidRPr="00127EE3" w:rsidRDefault="00270099" w:rsidP="003D2FE7">
            <w:pPr>
              <w:spacing w:after="120"/>
              <w:jc w:val="both"/>
              <w:rPr>
                <w:sz w:val="18"/>
                <w:szCs w:val="18"/>
              </w:rPr>
            </w:pPr>
            <w:r w:rsidRPr="00132A75">
              <w:rPr>
                <w:color w:val="000000" w:themeColor="text1"/>
                <w:sz w:val="18"/>
                <w:szCs w:val="18"/>
              </w:rPr>
              <w:t>Please refer to</w:t>
            </w:r>
            <w:r>
              <w:rPr>
                <w:color w:val="000000" w:themeColor="text1"/>
                <w:sz w:val="18"/>
                <w:szCs w:val="18"/>
              </w:rPr>
              <w:t xml:space="preserve"> </w:t>
            </w:r>
            <w:hyperlink r:id="rId61" w:history="1">
              <w:r w:rsidRPr="00293674">
                <w:rPr>
                  <w:rStyle w:val="Hyperlink"/>
                  <w:sz w:val="18"/>
                  <w:szCs w:val="18"/>
                </w:rPr>
                <w:t>J.P. Morgan EMEA Securities Services: Execution Policy Appendix 4</w:t>
              </w:r>
            </w:hyperlink>
            <w:r>
              <w:rPr>
                <w:sz w:val="18"/>
                <w:szCs w:val="18"/>
              </w:rPr>
              <w:t>.  In this policy, page 7 details the considerations for the key execution factors and page 11 details the factors affecting Agency Securities</w:t>
            </w:r>
            <w:r w:rsidRPr="00293674">
              <w:rPr>
                <w:sz w:val="18"/>
                <w:szCs w:val="18"/>
              </w:rPr>
              <w:t xml:space="preserve"> Finance’s</w:t>
            </w:r>
            <w:r>
              <w:rPr>
                <w:sz w:val="18"/>
                <w:szCs w:val="18"/>
              </w:rPr>
              <w:t xml:space="preserve"> choice of execution venues.</w:t>
            </w:r>
          </w:p>
        </w:tc>
      </w:tr>
      <w:tr w:rsidR="00270099" w:rsidRPr="00625958" w14:paraId="7EC9E4B1" w14:textId="77777777" w:rsidTr="00A55B52">
        <w:trPr>
          <w:trHeight w:val="485"/>
        </w:trPr>
        <w:tc>
          <w:tcPr>
            <w:tcW w:w="4110" w:type="dxa"/>
            <w:tcBorders>
              <w:left w:val="single" w:sz="12" w:space="0" w:color="auto"/>
            </w:tcBorders>
            <w:shd w:val="clear" w:color="auto" w:fill="D9D9D9" w:themeFill="background1" w:themeFillShade="D9"/>
          </w:tcPr>
          <w:p w14:paraId="1CFBE111" w14:textId="77777777" w:rsidR="00270099" w:rsidRPr="00625958" w:rsidRDefault="00270099" w:rsidP="003D2FE7">
            <w:pPr>
              <w:rPr>
                <w:color w:val="000000" w:themeColor="text1"/>
                <w:sz w:val="18"/>
                <w:szCs w:val="18"/>
              </w:rPr>
            </w:pPr>
            <w:r w:rsidRPr="00625958">
              <w:rPr>
                <w:color w:val="000000" w:themeColor="text1"/>
                <w:sz w:val="18"/>
                <w:szCs w:val="18"/>
              </w:rPr>
              <w:t>Execution venue close links / conflicts of interest / common ownerships</w:t>
            </w:r>
          </w:p>
        </w:tc>
        <w:tc>
          <w:tcPr>
            <w:tcW w:w="9840" w:type="dxa"/>
            <w:tcBorders>
              <w:right w:val="single" w:sz="12" w:space="0" w:color="auto"/>
            </w:tcBorders>
            <w:shd w:val="clear" w:color="auto" w:fill="auto"/>
          </w:tcPr>
          <w:p w14:paraId="05F61169" w14:textId="77777777" w:rsidR="00270099" w:rsidRDefault="00270099" w:rsidP="003D2FE7">
            <w:pPr>
              <w:rPr>
                <w:color w:val="000000" w:themeColor="text1"/>
                <w:sz w:val="18"/>
                <w:szCs w:val="18"/>
              </w:rPr>
            </w:pPr>
            <w:r w:rsidRPr="008B2CEE">
              <w:rPr>
                <w:color w:val="000000" w:themeColor="text1"/>
                <w:sz w:val="18"/>
                <w:szCs w:val="18"/>
              </w:rPr>
              <w:t xml:space="preserve">J.P. Morgan </w:t>
            </w:r>
            <w:r>
              <w:rPr>
                <w:color w:val="000000" w:themeColor="text1"/>
                <w:sz w:val="18"/>
                <w:szCs w:val="18"/>
              </w:rPr>
              <w:t xml:space="preserve">SE </w:t>
            </w:r>
            <w:r w:rsidRPr="008B2CEE">
              <w:rPr>
                <w:color w:val="000000" w:themeColor="text1"/>
                <w:sz w:val="18"/>
                <w:szCs w:val="18"/>
              </w:rPr>
              <w:t>is a fully owned subsidiary of JPMorgan Chase &amp; Co.</w:t>
            </w:r>
          </w:p>
          <w:p w14:paraId="4C06A084" w14:textId="77777777" w:rsidR="00270099" w:rsidRDefault="00270099" w:rsidP="003D2FE7">
            <w:pPr>
              <w:rPr>
                <w:b/>
                <w:color w:val="000000" w:themeColor="text1"/>
                <w:sz w:val="18"/>
                <w:szCs w:val="18"/>
                <w:u w:val="single"/>
              </w:rPr>
            </w:pPr>
          </w:p>
          <w:p w14:paraId="5AFE8673" w14:textId="059CB1CB" w:rsidR="00270099" w:rsidRPr="005228BB" w:rsidRDefault="00270099" w:rsidP="003D2FE7">
            <w:pPr>
              <w:rPr>
                <w:color w:val="000000" w:themeColor="text1"/>
                <w:sz w:val="18"/>
                <w:szCs w:val="18"/>
              </w:rPr>
            </w:pPr>
            <w:r>
              <w:rPr>
                <w:color w:val="000000" w:themeColor="text1"/>
                <w:sz w:val="18"/>
                <w:szCs w:val="18"/>
              </w:rPr>
              <w:t>J.P. Morgan SE did not have any execution venue close links, conflicts of interest or common ownerships for the year of 2022</w:t>
            </w:r>
          </w:p>
          <w:p w14:paraId="3337CD40" w14:textId="77777777" w:rsidR="00270099" w:rsidRPr="00625958" w:rsidRDefault="00270099" w:rsidP="003D2FE7">
            <w:pPr>
              <w:rPr>
                <w:b/>
                <w:color w:val="000000" w:themeColor="text1"/>
                <w:sz w:val="18"/>
                <w:szCs w:val="18"/>
                <w:u w:val="single"/>
              </w:rPr>
            </w:pPr>
          </w:p>
        </w:tc>
      </w:tr>
      <w:tr w:rsidR="00270099" w:rsidRPr="00625958" w14:paraId="560BEDB0" w14:textId="77777777" w:rsidTr="00A55B52">
        <w:trPr>
          <w:trHeight w:val="395"/>
        </w:trPr>
        <w:tc>
          <w:tcPr>
            <w:tcW w:w="4110" w:type="dxa"/>
            <w:tcBorders>
              <w:left w:val="single" w:sz="12" w:space="0" w:color="auto"/>
            </w:tcBorders>
            <w:shd w:val="clear" w:color="auto" w:fill="D9D9D9" w:themeFill="background1" w:themeFillShade="D9"/>
          </w:tcPr>
          <w:p w14:paraId="0A8B8BF5" w14:textId="77777777" w:rsidR="00270099" w:rsidRPr="00625958" w:rsidRDefault="00270099" w:rsidP="003D2FE7">
            <w:pPr>
              <w:rPr>
                <w:sz w:val="18"/>
                <w:szCs w:val="18"/>
              </w:rPr>
            </w:pPr>
            <w:r w:rsidRPr="00625958">
              <w:rPr>
                <w:sz w:val="18"/>
                <w:szCs w:val="18"/>
              </w:rPr>
              <w:t>Specific execution venue arrangements</w:t>
            </w:r>
          </w:p>
        </w:tc>
        <w:tc>
          <w:tcPr>
            <w:tcW w:w="9840" w:type="dxa"/>
            <w:tcBorders>
              <w:right w:val="single" w:sz="12" w:space="0" w:color="auto"/>
            </w:tcBorders>
            <w:shd w:val="clear" w:color="auto" w:fill="auto"/>
          </w:tcPr>
          <w:p w14:paraId="2684F732" w14:textId="77777777" w:rsidR="00270099" w:rsidRPr="00D854B4" w:rsidRDefault="00270099" w:rsidP="003D2FE7">
            <w:pPr>
              <w:rPr>
                <w:iCs/>
                <w:sz w:val="18"/>
                <w:szCs w:val="18"/>
              </w:rPr>
            </w:pPr>
            <w:r>
              <w:rPr>
                <w:iCs/>
                <w:sz w:val="18"/>
                <w:szCs w:val="18"/>
              </w:rPr>
              <w:t xml:space="preserve"> J.P. Morgan SE did not have any specific execution venue arrangements for the year of 2022</w:t>
            </w:r>
          </w:p>
        </w:tc>
      </w:tr>
      <w:tr w:rsidR="00270099" w:rsidRPr="00625958" w14:paraId="7C25BA34" w14:textId="77777777" w:rsidTr="00A55B52">
        <w:trPr>
          <w:trHeight w:val="368"/>
        </w:trPr>
        <w:tc>
          <w:tcPr>
            <w:tcW w:w="4110" w:type="dxa"/>
            <w:tcBorders>
              <w:left w:val="single" w:sz="12" w:space="0" w:color="auto"/>
            </w:tcBorders>
            <w:shd w:val="clear" w:color="auto" w:fill="D9D9D9" w:themeFill="background1" w:themeFillShade="D9"/>
          </w:tcPr>
          <w:p w14:paraId="22AA5F71" w14:textId="77777777" w:rsidR="00270099" w:rsidRPr="00625958" w:rsidRDefault="00270099" w:rsidP="003D2FE7">
            <w:pPr>
              <w:rPr>
                <w:sz w:val="18"/>
                <w:szCs w:val="18"/>
              </w:rPr>
            </w:pPr>
            <w:r w:rsidRPr="00625958">
              <w:rPr>
                <w:sz w:val="18"/>
                <w:szCs w:val="18"/>
              </w:rPr>
              <w:t>Changes to execution venues</w:t>
            </w:r>
          </w:p>
        </w:tc>
        <w:tc>
          <w:tcPr>
            <w:tcW w:w="9840" w:type="dxa"/>
            <w:tcBorders>
              <w:right w:val="single" w:sz="12" w:space="0" w:color="auto"/>
            </w:tcBorders>
          </w:tcPr>
          <w:p w14:paraId="4F9243E7" w14:textId="77777777" w:rsidR="00270099" w:rsidRDefault="00270099" w:rsidP="003D2FE7">
            <w:pPr>
              <w:rPr>
                <w:color w:val="000000" w:themeColor="text1"/>
                <w:sz w:val="18"/>
                <w:szCs w:val="18"/>
              </w:rPr>
            </w:pPr>
            <w:r>
              <w:rPr>
                <w:sz w:val="18"/>
                <w:szCs w:val="18"/>
              </w:rPr>
              <w:t xml:space="preserve">No change to execution venues. The list of execution venues can be found within the </w:t>
            </w:r>
            <w:hyperlink r:id="rId62" w:history="1">
              <w:r>
                <w:rPr>
                  <w:rStyle w:val="Hyperlink"/>
                  <w:sz w:val="18"/>
                  <w:szCs w:val="18"/>
                </w:rPr>
                <w:t>Disclosures</w:t>
              </w:r>
            </w:hyperlink>
            <w:r>
              <w:rPr>
                <w:sz w:val="18"/>
                <w:szCs w:val="18"/>
              </w:rPr>
              <w:t xml:space="preserve"> section of the Execution Policy -  </w:t>
            </w:r>
            <w:hyperlink r:id="rId63" w:history="1">
              <w:r w:rsidRPr="00FD2FC6">
                <w:rPr>
                  <w:rStyle w:val="Hyperlink"/>
                  <w:sz w:val="18"/>
                  <w:szCs w:val="18"/>
                </w:rPr>
                <w:t>Appendix 1 - List of Execution Venues</w:t>
              </w:r>
            </w:hyperlink>
            <w:r>
              <w:rPr>
                <w:sz w:val="18"/>
                <w:szCs w:val="18"/>
              </w:rPr>
              <w:t>. </w:t>
            </w:r>
          </w:p>
          <w:p w14:paraId="3943E144" w14:textId="77777777" w:rsidR="00270099" w:rsidRPr="00EB4EBA" w:rsidRDefault="00270099" w:rsidP="003D2FE7">
            <w:pPr>
              <w:rPr>
                <w:color w:val="000000" w:themeColor="text1"/>
                <w:sz w:val="18"/>
                <w:szCs w:val="18"/>
              </w:rPr>
            </w:pPr>
          </w:p>
        </w:tc>
      </w:tr>
      <w:tr w:rsidR="00A855BD" w:rsidRPr="00625958" w14:paraId="774FF538" w14:textId="77777777" w:rsidTr="00F4557D">
        <w:trPr>
          <w:trHeight w:val="1155"/>
        </w:trPr>
        <w:tc>
          <w:tcPr>
            <w:tcW w:w="4110" w:type="dxa"/>
            <w:tcBorders>
              <w:left w:val="single" w:sz="12" w:space="0" w:color="auto"/>
            </w:tcBorders>
            <w:shd w:val="clear" w:color="auto" w:fill="D9D9D9" w:themeFill="background1" w:themeFillShade="D9"/>
          </w:tcPr>
          <w:p w14:paraId="4E654830" w14:textId="77777777" w:rsidR="00A855BD" w:rsidRPr="00625958" w:rsidRDefault="00A855BD" w:rsidP="00A855BD">
            <w:pPr>
              <w:rPr>
                <w:sz w:val="18"/>
                <w:szCs w:val="18"/>
              </w:rPr>
            </w:pPr>
            <w:r w:rsidRPr="00625958">
              <w:rPr>
                <w:sz w:val="18"/>
                <w:szCs w:val="18"/>
              </w:rPr>
              <w:t>Client distinctions</w:t>
            </w:r>
          </w:p>
        </w:tc>
        <w:tc>
          <w:tcPr>
            <w:tcW w:w="9840" w:type="dxa"/>
            <w:tcBorders>
              <w:right w:val="single" w:sz="12" w:space="0" w:color="auto"/>
            </w:tcBorders>
          </w:tcPr>
          <w:p w14:paraId="098CD653" w14:textId="77777777" w:rsidR="00A855BD" w:rsidRDefault="00A855BD" w:rsidP="00A855BD">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7B06F03C" w14:textId="77777777" w:rsidR="00A855BD" w:rsidRDefault="00A855BD" w:rsidP="00A855BD">
            <w:pPr>
              <w:spacing w:after="120"/>
              <w:rPr>
                <w:sz w:val="18"/>
                <w:szCs w:val="18"/>
              </w:rPr>
            </w:pPr>
            <w:r>
              <w:rPr>
                <w:sz w:val="18"/>
                <w:szCs w:val="18"/>
              </w:rPr>
              <w:t xml:space="preserve">JPMSE CIB only deals with Professional Clients. </w:t>
            </w:r>
          </w:p>
          <w:p w14:paraId="1E8F377A" w14:textId="7E913A09" w:rsidR="00A855BD" w:rsidRPr="00A855BD" w:rsidRDefault="00A855BD" w:rsidP="00A855BD">
            <w:pPr>
              <w:rPr>
                <w:sz w:val="18"/>
                <w:szCs w:val="18"/>
              </w:rPr>
            </w:pPr>
            <w:r>
              <w:rPr>
                <w:sz w:val="18"/>
                <w:szCs w:val="18"/>
              </w:rPr>
              <w:t xml:space="preserve">However, JPMSE PB deals with both Professional and Retail Clients and its Best Execution disclosures can be found </w:t>
            </w:r>
            <w:hyperlink r:id="rId64" w:history="1">
              <w:r>
                <w:rPr>
                  <w:rStyle w:val="Hyperlink"/>
                  <w:sz w:val="18"/>
                  <w:szCs w:val="18"/>
                </w:rPr>
                <w:t>here</w:t>
              </w:r>
            </w:hyperlink>
            <w:r>
              <w:rPr>
                <w:sz w:val="18"/>
                <w:szCs w:val="18"/>
              </w:rPr>
              <w:t>.</w:t>
            </w:r>
          </w:p>
        </w:tc>
      </w:tr>
      <w:tr w:rsidR="00A855BD" w:rsidRPr="00625958" w14:paraId="777D9E62" w14:textId="77777777" w:rsidTr="00A55B52">
        <w:tc>
          <w:tcPr>
            <w:tcW w:w="4110" w:type="dxa"/>
            <w:tcBorders>
              <w:left w:val="single" w:sz="12" w:space="0" w:color="auto"/>
            </w:tcBorders>
            <w:shd w:val="clear" w:color="auto" w:fill="D9D9D9" w:themeFill="background1" w:themeFillShade="D9"/>
          </w:tcPr>
          <w:p w14:paraId="517F647F" w14:textId="77777777" w:rsidR="00A855BD" w:rsidRDefault="00A855BD" w:rsidP="00A855BD">
            <w:pPr>
              <w:rPr>
                <w:sz w:val="18"/>
                <w:szCs w:val="18"/>
              </w:rPr>
            </w:pPr>
            <w:r>
              <w:rPr>
                <w:sz w:val="18"/>
                <w:szCs w:val="18"/>
              </w:rPr>
              <w:t>Retail client orders</w:t>
            </w:r>
          </w:p>
          <w:p w14:paraId="1F3F3F6B" w14:textId="77777777" w:rsidR="00A855BD" w:rsidRPr="000A5454" w:rsidRDefault="00A855BD" w:rsidP="00A855BD">
            <w:pPr>
              <w:tabs>
                <w:tab w:val="left" w:pos="1215"/>
              </w:tabs>
              <w:rPr>
                <w:sz w:val="18"/>
                <w:szCs w:val="18"/>
              </w:rPr>
            </w:pPr>
            <w:r>
              <w:rPr>
                <w:sz w:val="18"/>
                <w:szCs w:val="18"/>
              </w:rPr>
              <w:tab/>
            </w:r>
          </w:p>
        </w:tc>
        <w:tc>
          <w:tcPr>
            <w:tcW w:w="9840" w:type="dxa"/>
            <w:tcBorders>
              <w:right w:val="single" w:sz="12" w:space="0" w:color="auto"/>
            </w:tcBorders>
          </w:tcPr>
          <w:p w14:paraId="5870B932" w14:textId="449C5A39" w:rsidR="00A855BD" w:rsidRPr="00DC5BCA" w:rsidRDefault="00A855BD" w:rsidP="00A855BD">
            <w:pPr>
              <w:rPr>
                <w:sz w:val="18"/>
                <w:szCs w:val="18"/>
                <w:highlight w:val="yellow"/>
              </w:rPr>
            </w:pPr>
            <w:r w:rsidRPr="00EC5BE7">
              <w:rPr>
                <w:sz w:val="18"/>
                <w:szCs w:val="18"/>
              </w:rPr>
              <w:t>See above</w:t>
            </w:r>
          </w:p>
        </w:tc>
      </w:tr>
      <w:tr w:rsidR="00A855BD" w:rsidRPr="00625958" w14:paraId="6B178921" w14:textId="77777777" w:rsidTr="00A55B52">
        <w:tc>
          <w:tcPr>
            <w:tcW w:w="4110" w:type="dxa"/>
            <w:tcBorders>
              <w:left w:val="single" w:sz="12" w:space="0" w:color="auto"/>
            </w:tcBorders>
            <w:shd w:val="clear" w:color="auto" w:fill="D9D9D9" w:themeFill="background1" w:themeFillShade="D9"/>
          </w:tcPr>
          <w:p w14:paraId="29321309" w14:textId="77777777" w:rsidR="00A855BD" w:rsidRPr="00625958" w:rsidRDefault="00A855BD" w:rsidP="00A855BD">
            <w:pPr>
              <w:rPr>
                <w:sz w:val="18"/>
                <w:szCs w:val="18"/>
              </w:rPr>
            </w:pPr>
            <w:r w:rsidRPr="00625958">
              <w:rPr>
                <w:sz w:val="18"/>
                <w:szCs w:val="18"/>
              </w:rPr>
              <w:t>Use of data/tools relating to the quality of execution</w:t>
            </w:r>
          </w:p>
        </w:tc>
        <w:tc>
          <w:tcPr>
            <w:tcW w:w="9840" w:type="dxa"/>
            <w:tcBorders>
              <w:right w:val="single" w:sz="12" w:space="0" w:color="auto"/>
            </w:tcBorders>
          </w:tcPr>
          <w:p w14:paraId="0110F672" w14:textId="77777777" w:rsidR="00A855BD" w:rsidRDefault="00A855BD" w:rsidP="00A855BD">
            <w:pPr>
              <w:rPr>
                <w:color w:val="000000"/>
                <w:sz w:val="18"/>
                <w:szCs w:val="18"/>
              </w:rPr>
            </w:pPr>
            <w:r>
              <w:rPr>
                <w:color w:val="000000"/>
                <w:sz w:val="18"/>
                <w:szCs w:val="18"/>
                <w:u w:val="single"/>
              </w:rPr>
              <w:t xml:space="preserve">Securities financing transactions (SFTs): </w:t>
            </w:r>
            <w:r w:rsidRPr="00625958">
              <w:rPr>
                <w:sz w:val="18"/>
                <w:szCs w:val="18"/>
              </w:rPr>
              <w:t xml:space="preserve"> J.P. Morgan</w:t>
            </w:r>
            <w:r>
              <w:rPr>
                <w:sz w:val="18"/>
                <w:szCs w:val="18"/>
              </w:rPr>
              <w:t xml:space="preserve"> SE</w:t>
            </w:r>
            <w:r w:rsidRPr="00625958">
              <w:rPr>
                <w:sz w:val="18"/>
                <w:szCs w:val="18"/>
              </w:rPr>
              <w:t xml:space="preserve"> </w:t>
            </w:r>
            <w:r>
              <w:rPr>
                <w:color w:val="000000"/>
                <w:sz w:val="18"/>
                <w:szCs w:val="18"/>
              </w:rPr>
              <w:t>assessed the fairness of pricing of loans subject to Best Execution by comparing open loan fees and rebates to rates supplied by third party vendors.</w:t>
            </w:r>
          </w:p>
          <w:p w14:paraId="02CB3368" w14:textId="77777777" w:rsidR="00A855BD" w:rsidRDefault="00A855BD" w:rsidP="00A855BD">
            <w:pPr>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w:t>
            </w:r>
            <w:r>
              <w:rPr>
                <w:sz w:val="18"/>
                <w:szCs w:val="18"/>
              </w:rPr>
              <w:t>SE assessed the fairness of pricing of transactions subject to Best Execution by evaluating Term investment executions against different external reference prices.</w:t>
            </w:r>
          </w:p>
          <w:p w14:paraId="487FD4E7" w14:textId="77777777" w:rsidR="00A855BD" w:rsidRPr="00EB4EBA" w:rsidRDefault="00A855BD" w:rsidP="00A855BD">
            <w:pPr>
              <w:rPr>
                <w:sz w:val="18"/>
                <w:szCs w:val="18"/>
              </w:rPr>
            </w:pPr>
          </w:p>
        </w:tc>
      </w:tr>
      <w:tr w:rsidR="00A855BD" w:rsidRPr="00625958" w14:paraId="76D396C2" w14:textId="77777777" w:rsidTr="00F4557D">
        <w:trPr>
          <w:trHeight w:val="588"/>
        </w:trPr>
        <w:tc>
          <w:tcPr>
            <w:tcW w:w="4110" w:type="dxa"/>
            <w:tcBorders>
              <w:left w:val="single" w:sz="12" w:space="0" w:color="auto"/>
            </w:tcBorders>
            <w:shd w:val="clear" w:color="auto" w:fill="D9D9D9" w:themeFill="background1" w:themeFillShade="D9"/>
          </w:tcPr>
          <w:p w14:paraId="00F4951A" w14:textId="77777777" w:rsidR="00A855BD" w:rsidRPr="00625958" w:rsidRDefault="00A855BD" w:rsidP="00A855BD">
            <w:pPr>
              <w:rPr>
                <w:sz w:val="18"/>
                <w:szCs w:val="18"/>
              </w:rPr>
            </w:pPr>
            <w:r w:rsidRPr="00625958">
              <w:rPr>
                <w:sz w:val="18"/>
                <w:szCs w:val="18"/>
              </w:rPr>
              <w:t>Use of consolidated tape provider output or other algorithms to assess execution performances</w:t>
            </w:r>
          </w:p>
        </w:tc>
        <w:tc>
          <w:tcPr>
            <w:tcW w:w="9840" w:type="dxa"/>
            <w:tcBorders>
              <w:right w:val="single" w:sz="12" w:space="0" w:color="auto"/>
            </w:tcBorders>
          </w:tcPr>
          <w:p w14:paraId="4208BF51" w14:textId="77777777" w:rsidR="00A855BD" w:rsidRDefault="00A855BD" w:rsidP="00A855BD">
            <w:pPr>
              <w:rPr>
                <w:sz w:val="18"/>
                <w:szCs w:val="18"/>
              </w:rPr>
            </w:pPr>
            <w:r>
              <w:rPr>
                <w:sz w:val="18"/>
                <w:szCs w:val="18"/>
              </w:rPr>
              <w:t>J.P. Morgan SE did not use consolidated tape provider output or other algorithms to assess execution performances for the year of 2022.</w:t>
            </w:r>
          </w:p>
          <w:p w14:paraId="64A05B18" w14:textId="77777777" w:rsidR="00A855BD" w:rsidRDefault="00A855BD" w:rsidP="00A855BD">
            <w:pPr>
              <w:rPr>
                <w:color w:val="000000"/>
                <w:sz w:val="18"/>
                <w:szCs w:val="18"/>
                <w:u w:val="single"/>
              </w:rPr>
            </w:pPr>
          </w:p>
        </w:tc>
      </w:tr>
    </w:tbl>
    <w:p w14:paraId="2BC7C607" w14:textId="5DE85122" w:rsidR="006E2C7D" w:rsidRPr="00270099" w:rsidRDefault="006E2C7D" w:rsidP="00270099">
      <w:pPr>
        <w:tabs>
          <w:tab w:val="left" w:pos="4683"/>
        </w:tabs>
        <w:rPr>
          <w:sz w:val="18"/>
          <w:szCs w:val="18"/>
        </w:rPr>
      </w:pPr>
    </w:p>
    <w:sectPr w:rsidR="006E2C7D" w:rsidRPr="00270099" w:rsidSect="008D592B">
      <w:headerReference w:type="default" r:id="rId65"/>
      <w:footerReference w:type="default" r:id="rId66"/>
      <w:pgSz w:w="16838" w:h="11906" w:orient="landscape"/>
      <w:pgMar w:top="1440" w:right="1440" w:bottom="1440" w:left="144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EC455" w14:textId="77777777" w:rsidR="00E23006" w:rsidRDefault="00E23006" w:rsidP="00791919">
      <w:pPr>
        <w:spacing w:after="0" w:line="240" w:lineRule="auto"/>
      </w:pPr>
      <w:r>
        <w:separator/>
      </w:r>
    </w:p>
  </w:endnote>
  <w:endnote w:type="continuationSeparator" w:id="0">
    <w:p w14:paraId="4A758C85" w14:textId="77777777" w:rsidR="00E23006" w:rsidRDefault="00E23006"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F_Kai">
    <w:panose1 w:val="03000509000000000000"/>
    <w:charset w:val="86"/>
    <w:family w:val="script"/>
    <w:pitch w:val="fixed"/>
    <w:sig w:usb0="00000001" w:usb1="080E0000" w:usb2="00000010" w:usb3="00000000" w:csb0="001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B9292" w14:textId="77777777" w:rsidR="001A5D89" w:rsidRPr="009C2E6E" w:rsidRDefault="001A5D89" w:rsidP="001A5D89">
    <w:pPr>
      <w:ind w:right="432"/>
      <w:jc w:val="both"/>
      <w:rPr>
        <w:i/>
        <w:iCs/>
        <w:sz w:val="18"/>
        <w:szCs w:val="18"/>
      </w:rPr>
    </w:pPr>
    <w:r w:rsidRPr="009C2E6E">
      <w:rPr>
        <w:i/>
        <w:iCs/>
        <w:sz w:val="18"/>
        <w:szCs w:val="18"/>
      </w:rPr>
      <w:t>* On January 24th</w:t>
    </w:r>
    <w:proofErr w:type="gramStart"/>
    <w:r w:rsidRPr="009C2E6E">
      <w:rPr>
        <w:i/>
        <w:iCs/>
        <w:sz w:val="18"/>
        <w:szCs w:val="18"/>
      </w:rPr>
      <w:t xml:space="preserve"> 2022</w:t>
    </w:r>
    <w:proofErr w:type="gramEnd"/>
    <w:r w:rsidRPr="009C2E6E">
      <w:rPr>
        <w:i/>
        <w:iCs/>
        <w:sz w:val="18"/>
        <w:szCs w:val="18"/>
      </w:rPr>
      <w:t xml:space="preserve"> J.P. Morgan announced the restructuring of its existing EU credit institutions into one legal entity to be known as J.P. Morgan SE (JPMSE). The consolidation of the firm’s existing EU legal entity structure into JPMSE has been executed through a merger of J.P. Morgan Bank Luxembourg S.A. and J.P. Morgan Bank (Ireland) plc. into the German entity - J.P. Morgan AG. Following that process, J.P. Morgan AG has been converted into a “Societas Europaea,” a European public company (with an accounting effective date of 01 January 2022). </w:t>
    </w:r>
  </w:p>
  <w:p w14:paraId="6E72BE95" w14:textId="77777777" w:rsidR="001A5D89" w:rsidRPr="009C2E6E" w:rsidRDefault="001A5D89" w:rsidP="001A5D89">
    <w:pPr>
      <w:ind w:right="432"/>
      <w:jc w:val="both"/>
      <w:rPr>
        <w:i/>
        <w:iCs/>
        <w:sz w:val="18"/>
        <w:szCs w:val="18"/>
      </w:rPr>
    </w:pPr>
    <w:r w:rsidRPr="009C2E6E">
      <w:rPr>
        <w:i/>
        <w:iCs/>
        <w:sz w:val="18"/>
        <w:szCs w:val="18"/>
      </w:rPr>
      <w:t xml:space="preserve">For further information, please see </w:t>
    </w:r>
    <w:hyperlink r:id="rId1" w:history="1">
      <w:r w:rsidRPr="009C2E6E">
        <w:rPr>
          <w:rStyle w:val="Hyperlink"/>
          <w:i/>
          <w:iCs/>
          <w:sz w:val="18"/>
          <w:szCs w:val="18"/>
        </w:rPr>
        <w:t>https://www.jpmorgan.com/news/jpm-consolidates-majority-of-eu-client-facing-business-into-single-legal-entity-jpmse</w:t>
      </w:r>
    </w:hyperlink>
  </w:p>
  <w:p w14:paraId="75030BEC" w14:textId="218DA6AD" w:rsidR="00791919" w:rsidRPr="001A5D89" w:rsidRDefault="00791919" w:rsidP="001A5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24638" w14:textId="77777777" w:rsidR="00E23006" w:rsidRDefault="00E23006" w:rsidP="00791919">
      <w:pPr>
        <w:spacing w:after="0" w:line="240" w:lineRule="auto"/>
      </w:pPr>
      <w:r>
        <w:separator/>
      </w:r>
    </w:p>
  </w:footnote>
  <w:footnote w:type="continuationSeparator" w:id="0">
    <w:p w14:paraId="1326CABA" w14:textId="77777777" w:rsidR="00E23006" w:rsidRDefault="00E23006" w:rsidP="00791919">
      <w:pPr>
        <w:spacing w:after="0" w:line="240" w:lineRule="auto"/>
      </w:pPr>
      <w:r>
        <w:continuationSeparator/>
      </w:r>
    </w:p>
  </w:footnote>
  <w:footnote w:id="1">
    <w:p w14:paraId="03CF02C5" w14:textId="77777777" w:rsidR="009E7B72" w:rsidRPr="00AB2361" w:rsidRDefault="009E7B72" w:rsidP="009E7B72">
      <w:pPr>
        <w:pStyle w:val="FootnoteText"/>
        <w:rPr>
          <w:sz w:val="16"/>
          <w:szCs w:val="16"/>
        </w:rPr>
      </w:pPr>
      <w:r>
        <w:rPr>
          <w:rStyle w:val="FootnoteReference"/>
        </w:rPr>
        <w:footnoteRef/>
      </w:r>
      <w:r>
        <w:t xml:space="preserve"> </w:t>
      </w:r>
      <w:r w:rsidRPr="00AB2361">
        <w:rPr>
          <w:sz w:val="16"/>
          <w:szCs w:val="16"/>
        </w:rPr>
        <w:t>Measured as the average percentage of liquidity obtained versus that displayed at the time that the routing decision was made.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3234" w14:textId="77777777" w:rsidR="008D592B" w:rsidRDefault="008D592B" w:rsidP="009E5312">
    <w:pPr>
      <w:rPr>
        <w:i/>
        <w:iCs/>
        <w:sz w:val="18"/>
        <w:szCs w:val="18"/>
      </w:rPr>
    </w:pPr>
  </w:p>
  <w:p w14:paraId="30C4A04C" w14:textId="7CA5AF68" w:rsidR="008D592B" w:rsidRPr="008D592B" w:rsidRDefault="008D592B" w:rsidP="008D592B">
    <w:pPr>
      <w:rPr>
        <w:sz w:val="18"/>
        <w:szCs w:val="18"/>
      </w:rPr>
    </w:pPr>
    <w:r w:rsidRPr="00F2169A">
      <w:rPr>
        <w:i/>
        <w:iCs/>
        <w:sz w:val="18"/>
        <w:szCs w:val="18"/>
      </w:rPr>
      <w:t xml:space="preserve">Please note this report covers the JPMSE Corporate and Investment Bank (JPMSE CIB) MiFID II qualitative analysis of best execution. JPMSE Private Bank (JPMSE PB) MiFID II qualitative analysis of best execution can be found here: </w:t>
    </w:r>
    <w:hyperlink r:id="rId1" w:history="1">
      <w:r w:rsidRPr="00F2169A">
        <w:rPr>
          <w:rStyle w:val="Hyperlink"/>
          <w:i/>
          <w:iCs/>
          <w:sz w:val="18"/>
          <w:szCs w:val="18"/>
        </w:rPr>
        <w:t>https://privatebank.jpmorgan.com/gl/en/disclosures/emea-important-information</w:t>
      </w:r>
    </w:hyperlink>
  </w:p>
  <w:p w14:paraId="0DF149AB" w14:textId="77777777" w:rsidR="000A5454" w:rsidRDefault="000A54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119E1"/>
    <w:rsid w:val="00011B16"/>
    <w:rsid w:val="000135AD"/>
    <w:rsid w:val="00016F12"/>
    <w:rsid w:val="00024780"/>
    <w:rsid w:val="0002498C"/>
    <w:rsid w:val="000254A4"/>
    <w:rsid w:val="00025C9F"/>
    <w:rsid w:val="0003509A"/>
    <w:rsid w:val="000469E1"/>
    <w:rsid w:val="00052E11"/>
    <w:rsid w:val="00055F5C"/>
    <w:rsid w:val="00070C4A"/>
    <w:rsid w:val="00072DFF"/>
    <w:rsid w:val="000735A6"/>
    <w:rsid w:val="00073B7F"/>
    <w:rsid w:val="00084D21"/>
    <w:rsid w:val="00090747"/>
    <w:rsid w:val="00095DA8"/>
    <w:rsid w:val="0009740E"/>
    <w:rsid w:val="000A5454"/>
    <w:rsid w:val="000B29B9"/>
    <w:rsid w:val="000B30D5"/>
    <w:rsid w:val="000C14C2"/>
    <w:rsid w:val="000C6E65"/>
    <w:rsid w:val="000D0200"/>
    <w:rsid w:val="000D3A0F"/>
    <w:rsid w:val="000F5717"/>
    <w:rsid w:val="00114295"/>
    <w:rsid w:val="00117BA2"/>
    <w:rsid w:val="00127EE3"/>
    <w:rsid w:val="00135DBC"/>
    <w:rsid w:val="00141D70"/>
    <w:rsid w:val="00153445"/>
    <w:rsid w:val="00154769"/>
    <w:rsid w:val="001562DE"/>
    <w:rsid w:val="001606D2"/>
    <w:rsid w:val="00167578"/>
    <w:rsid w:val="00167ECF"/>
    <w:rsid w:val="001736AB"/>
    <w:rsid w:val="00184F73"/>
    <w:rsid w:val="00192129"/>
    <w:rsid w:val="00193D1B"/>
    <w:rsid w:val="001A5D89"/>
    <w:rsid w:val="001B5F42"/>
    <w:rsid w:val="001D0CA7"/>
    <w:rsid w:val="001D337C"/>
    <w:rsid w:val="001D3603"/>
    <w:rsid w:val="001E4046"/>
    <w:rsid w:val="001E5155"/>
    <w:rsid w:val="002058C7"/>
    <w:rsid w:val="00210DEB"/>
    <w:rsid w:val="00215F2F"/>
    <w:rsid w:val="00217666"/>
    <w:rsid w:val="0023605B"/>
    <w:rsid w:val="00236BCE"/>
    <w:rsid w:val="002407F6"/>
    <w:rsid w:val="002518AF"/>
    <w:rsid w:val="00270099"/>
    <w:rsid w:val="00293674"/>
    <w:rsid w:val="00297E18"/>
    <w:rsid w:val="002A5014"/>
    <w:rsid w:val="002B2C17"/>
    <w:rsid w:val="002B39A0"/>
    <w:rsid w:val="002D07D7"/>
    <w:rsid w:val="002D1780"/>
    <w:rsid w:val="002F2FB9"/>
    <w:rsid w:val="003008C6"/>
    <w:rsid w:val="00307A3E"/>
    <w:rsid w:val="00307EFC"/>
    <w:rsid w:val="003166D1"/>
    <w:rsid w:val="00317DC0"/>
    <w:rsid w:val="00323ABC"/>
    <w:rsid w:val="00323C12"/>
    <w:rsid w:val="00334522"/>
    <w:rsid w:val="003427A1"/>
    <w:rsid w:val="0035063A"/>
    <w:rsid w:val="00350C0D"/>
    <w:rsid w:val="003537EB"/>
    <w:rsid w:val="00364082"/>
    <w:rsid w:val="00366725"/>
    <w:rsid w:val="0037140A"/>
    <w:rsid w:val="00380686"/>
    <w:rsid w:val="003907BC"/>
    <w:rsid w:val="0039172F"/>
    <w:rsid w:val="00392E4D"/>
    <w:rsid w:val="003949B4"/>
    <w:rsid w:val="003A1CDE"/>
    <w:rsid w:val="003A6015"/>
    <w:rsid w:val="003C48D4"/>
    <w:rsid w:val="003C51BF"/>
    <w:rsid w:val="003C5DD7"/>
    <w:rsid w:val="003D17FE"/>
    <w:rsid w:val="003D2FE7"/>
    <w:rsid w:val="003D4ADF"/>
    <w:rsid w:val="003E594E"/>
    <w:rsid w:val="003F3FA6"/>
    <w:rsid w:val="00405DB2"/>
    <w:rsid w:val="004239D3"/>
    <w:rsid w:val="00425674"/>
    <w:rsid w:val="00427002"/>
    <w:rsid w:val="00430448"/>
    <w:rsid w:val="004329CB"/>
    <w:rsid w:val="00433831"/>
    <w:rsid w:val="00442760"/>
    <w:rsid w:val="00445C39"/>
    <w:rsid w:val="0047552E"/>
    <w:rsid w:val="004A39BE"/>
    <w:rsid w:val="004A55BF"/>
    <w:rsid w:val="004B4DDD"/>
    <w:rsid w:val="004C38D9"/>
    <w:rsid w:val="004D72F0"/>
    <w:rsid w:val="004F4C76"/>
    <w:rsid w:val="004F5047"/>
    <w:rsid w:val="004F5D32"/>
    <w:rsid w:val="005002DA"/>
    <w:rsid w:val="00507722"/>
    <w:rsid w:val="005110F9"/>
    <w:rsid w:val="0051309F"/>
    <w:rsid w:val="005153BC"/>
    <w:rsid w:val="00520E03"/>
    <w:rsid w:val="005228BB"/>
    <w:rsid w:val="00545DB7"/>
    <w:rsid w:val="00546363"/>
    <w:rsid w:val="00571887"/>
    <w:rsid w:val="00576636"/>
    <w:rsid w:val="005815B8"/>
    <w:rsid w:val="00581B92"/>
    <w:rsid w:val="00590A22"/>
    <w:rsid w:val="005A0ECC"/>
    <w:rsid w:val="005A22B3"/>
    <w:rsid w:val="005B14E1"/>
    <w:rsid w:val="005D3C15"/>
    <w:rsid w:val="005E134C"/>
    <w:rsid w:val="005E65B3"/>
    <w:rsid w:val="005F0519"/>
    <w:rsid w:val="006216FE"/>
    <w:rsid w:val="00625958"/>
    <w:rsid w:val="00636820"/>
    <w:rsid w:val="0065674D"/>
    <w:rsid w:val="00662342"/>
    <w:rsid w:val="006630A1"/>
    <w:rsid w:val="00665B64"/>
    <w:rsid w:val="0066601A"/>
    <w:rsid w:val="00667ED1"/>
    <w:rsid w:val="00677C5F"/>
    <w:rsid w:val="006832ED"/>
    <w:rsid w:val="00684F89"/>
    <w:rsid w:val="00697692"/>
    <w:rsid w:val="006A6A81"/>
    <w:rsid w:val="006B03A5"/>
    <w:rsid w:val="006C00BB"/>
    <w:rsid w:val="006C081F"/>
    <w:rsid w:val="006C4994"/>
    <w:rsid w:val="006E2C7D"/>
    <w:rsid w:val="00704AF6"/>
    <w:rsid w:val="0072314F"/>
    <w:rsid w:val="007253C8"/>
    <w:rsid w:val="00736BE5"/>
    <w:rsid w:val="007370EC"/>
    <w:rsid w:val="007559B0"/>
    <w:rsid w:val="007641E2"/>
    <w:rsid w:val="00764C2D"/>
    <w:rsid w:val="00774137"/>
    <w:rsid w:val="007825A2"/>
    <w:rsid w:val="00782BED"/>
    <w:rsid w:val="00791919"/>
    <w:rsid w:val="007A6941"/>
    <w:rsid w:val="007B0351"/>
    <w:rsid w:val="007B228E"/>
    <w:rsid w:val="007C3EC6"/>
    <w:rsid w:val="007D25E6"/>
    <w:rsid w:val="007D638A"/>
    <w:rsid w:val="007F0AC6"/>
    <w:rsid w:val="007F7571"/>
    <w:rsid w:val="00800816"/>
    <w:rsid w:val="00804E0D"/>
    <w:rsid w:val="00811842"/>
    <w:rsid w:val="00812669"/>
    <w:rsid w:val="0081289B"/>
    <w:rsid w:val="008249B0"/>
    <w:rsid w:val="008328DD"/>
    <w:rsid w:val="00842FCB"/>
    <w:rsid w:val="008475F2"/>
    <w:rsid w:val="00847F20"/>
    <w:rsid w:val="0085124E"/>
    <w:rsid w:val="008517EA"/>
    <w:rsid w:val="008533D2"/>
    <w:rsid w:val="00854169"/>
    <w:rsid w:val="0086254D"/>
    <w:rsid w:val="008828A3"/>
    <w:rsid w:val="00895EE0"/>
    <w:rsid w:val="008A1C89"/>
    <w:rsid w:val="008A3384"/>
    <w:rsid w:val="008B2CEE"/>
    <w:rsid w:val="008C3D9F"/>
    <w:rsid w:val="008D592B"/>
    <w:rsid w:val="008E595C"/>
    <w:rsid w:val="008F2801"/>
    <w:rsid w:val="00901F44"/>
    <w:rsid w:val="00902C96"/>
    <w:rsid w:val="00906C6F"/>
    <w:rsid w:val="00911C61"/>
    <w:rsid w:val="00912863"/>
    <w:rsid w:val="0091764E"/>
    <w:rsid w:val="00917912"/>
    <w:rsid w:val="009203A5"/>
    <w:rsid w:val="00920A4F"/>
    <w:rsid w:val="00965D08"/>
    <w:rsid w:val="00971AF4"/>
    <w:rsid w:val="00976AE9"/>
    <w:rsid w:val="009802F7"/>
    <w:rsid w:val="00981C47"/>
    <w:rsid w:val="0099558D"/>
    <w:rsid w:val="009C2E6E"/>
    <w:rsid w:val="009C6A4F"/>
    <w:rsid w:val="009C7DAE"/>
    <w:rsid w:val="009D2BD4"/>
    <w:rsid w:val="009E37D1"/>
    <w:rsid w:val="009E5312"/>
    <w:rsid w:val="009E7B72"/>
    <w:rsid w:val="009F3CE6"/>
    <w:rsid w:val="009F4E6D"/>
    <w:rsid w:val="009F5DA6"/>
    <w:rsid w:val="00A00273"/>
    <w:rsid w:val="00A01658"/>
    <w:rsid w:val="00A32451"/>
    <w:rsid w:val="00A37BA3"/>
    <w:rsid w:val="00A47F72"/>
    <w:rsid w:val="00A51004"/>
    <w:rsid w:val="00A53AFB"/>
    <w:rsid w:val="00A55B52"/>
    <w:rsid w:val="00A76F86"/>
    <w:rsid w:val="00A855BD"/>
    <w:rsid w:val="00A872C5"/>
    <w:rsid w:val="00A87D42"/>
    <w:rsid w:val="00AA0005"/>
    <w:rsid w:val="00AA12A4"/>
    <w:rsid w:val="00AA20D9"/>
    <w:rsid w:val="00AA5380"/>
    <w:rsid w:val="00AB2A57"/>
    <w:rsid w:val="00AC6390"/>
    <w:rsid w:val="00AD1834"/>
    <w:rsid w:val="00AD1EBB"/>
    <w:rsid w:val="00AD4BF4"/>
    <w:rsid w:val="00AE1027"/>
    <w:rsid w:val="00AE4966"/>
    <w:rsid w:val="00AF31BA"/>
    <w:rsid w:val="00AF5DED"/>
    <w:rsid w:val="00AF6C9C"/>
    <w:rsid w:val="00B21FEF"/>
    <w:rsid w:val="00B27941"/>
    <w:rsid w:val="00B511D7"/>
    <w:rsid w:val="00B65385"/>
    <w:rsid w:val="00B674C2"/>
    <w:rsid w:val="00B81555"/>
    <w:rsid w:val="00B81752"/>
    <w:rsid w:val="00B87544"/>
    <w:rsid w:val="00B90A00"/>
    <w:rsid w:val="00B91BF1"/>
    <w:rsid w:val="00B94F41"/>
    <w:rsid w:val="00BA154F"/>
    <w:rsid w:val="00BB0591"/>
    <w:rsid w:val="00BD4745"/>
    <w:rsid w:val="00C03601"/>
    <w:rsid w:val="00C03B10"/>
    <w:rsid w:val="00C05144"/>
    <w:rsid w:val="00C06819"/>
    <w:rsid w:val="00C07959"/>
    <w:rsid w:val="00C302FD"/>
    <w:rsid w:val="00C3522B"/>
    <w:rsid w:val="00C366AA"/>
    <w:rsid w:val="00C36D28"/>
    <w:rsid w:val="00C36E97"/>
    <w:rsid w:val="00C4675C"/>
    <w:rsid w:val="00C54C94"/>
    <w:rsid w:val="00C6149F"/>
    <w:rsid w:val="00C66C99"/>
    <w:rsid w:val="00C74099"/>
    <w:rsid w:val="00C84734"/>
    <w:rsid w:val="00C9488A"/>
    <w:rsid w:val="00CA0C7B"/>
    <w:rsid w:val="00CC4589"/>
    <w:rsid w:val="00CE2C80"/>
    <w:rsid w:val="00CE5A10"/>
    <w:rsid w:val="00CF30DA"/>
    <w:rsid w:val="00CF34DA"/>
    <w:rsid w:val="00D05099"/>
    <w:rsid w:val="00D275E0"/>
    <w:rsid w:val="00D34C0A"/>
    <w:rsid w:val="00D356EF"/>
    <w:rsid w:val="00D35BF5"/>
    <w:rsid w:val="00D42916"/>
    <w:rsid w:val="00D514ED"/>
    <w:rsid w:val="00D57307"/>
    <w:rsid w:val="00D62AFD"/>
    <w:rsid w:val="00D73C38"/>
    <w:rsid w:val="00D75247"/>
    <w:rsid w:val="00D852A5"/>
    <w:rsid w:val="00D854B4"/>
    <w:rsid w:val="00D936E6"/>
    <w:rsid w:val="00DA38C4"/>
    <w:rsid w:val="00DB4D0C"/>
    <w:rsid w:val="00DB7060"/>
    <w:rsid w:val="00DC5BCA"/>
    <w:rsid w:val="00DD6DF6"/>
    <w:rsid w:val="00DE2D0F"/>
    <w:rsid w:val="00E01544"/>
    <w:rsid w:val="00E063FD"/>
    <w:rsid w:val="00E16006"/>
    <w:rsid w:val="00E23006"/>
    <w:rsid w:val="00E27B64"/>
    <w:rsid w:val="00E548FC"/>
    <w:rsid w:val="00E63321"/>
    <w:rsid w:val="00E65556"/>
    <w:rsid w:val="00E73067"/>
    <w:rsid w:val="00E845ED"/>
    <w:rsid w:val="00E87B25"/>
    <w:rsid w:val="00E90863"/>
    <w:rsid w:val="00EA7A57"/>
    <w:rsid w:val="00EB4EBA"/>
    <w:rsid w:val="00EC19B0"/>
    <w:rsid w:val="00EC5BE7"/>
    <w:rsid w:val="00ED0764"/>
    <w:rsid w:val="00ED103F"/>
    <w:rsid w:val="00ED3540"/>
    <w:rsid w:val="00EE008A"/>
    <w:rsid w:val="00EE09DB"/>
    <w:rsid w:val="00EE52E8"/>
    <w:rsid w:val="00EF6626"/>
    <w:rsid w:val="00F010E3"/>
    <w:rsid w:val="00F113C6"/>
    <w:rsid w:val="00F1586A"/>
    <w:rsid w:val="00F441A8"/>
    <w:rsid w:val="00F4557D"/>
    <w:rsid w:val="00F51D0D"/>
    <w:rsid w:val="00F52215"/>
    <w:rsid w:val="00F55A15"/>
    <w:rsid w:val="00F71F61"/>
    <w:rsid w:val="00F82172"/>
    <w:rsid w:val="00F90FA7"/>
    <w:rsid w:val="00F92F9E"/>
    <w:rsid w:val="00FC2FAA"/>
    <w:rsid w:val="00FC574E"/>
    <w:rsid w:val="00FD2FC6"/>
    <w:rsid w:val="00FD4180"/>
    <w:rsid w:val="00FE0E0C"/>
    <w:rsid w:val="00FE56F6"/>
    <w:rsid w:val="00FE66E7"/>
    <w:rsid w:val="00FF253E"/>
    <w:rsid w:val="00FF6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4012C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character" w:styleId="FollowedHyperlink">
    <w:name w:val="FollowedHyperlink"/>
    <w:basedOn w:val="DefaultParagraphFont"/>
    <w:uiPriority w:val="99"/>
    <w:semiHidden/>
    <w:unhideWhenUsed/>
    <w:rsid w:val="000F5717"/>
    <w:rPr>
      <w:color w:val="800080" w:themeColor="followedHyperlink"/>
      <w:u w:val="single"/>
    </w:rPr>
  </w:style>
  <w:style w:type="character" w:customStyle="1" w:styleId="UnresolvedMention1">
    <w:name w:val="Unresolved Mention1"/>
    <w:basedOn w:val="DefaultParagraphFont"/>
    <w:uiPriority w:val="99"/>
    <w:semiHidden/>
    <w:unhideWhenUsed/>
    <w:rsid w:val="00380686"/>
    <w:rPr>
      <w:color w:val="605E5C"/>
      <w:shd w:val="clear" w:color="auto" w:fill="E1DFDD"/>
    </w:rPr>
  </w:style>
  <w:style w:type="character" w:styleId="UnresolvedMention">
    <w:name w:val="Unresolved Mention"/>
    <w:basedOn w:val="DefaultParagraphFont"/>
    <w:uiPriority w:val="99"/>
    <w:semiHidden/>
    <w:unhideWhenUsed/>
    <w:rsid w:val="00FD2FC6"/>
    <w:rPr>
      <w:color w:val="605E5C"/>
      <w:shd w:val="clear" w:color="auto" w:fill="E1DFDD"/>
    </w:rPr>
  </w:style>
  <w:style w:type="paragraph" w:styleId="Revision">
    <w:name w:val="Revision"/>
    <w:hidden/>
    <w:uiPriority w:val="99"/>
    <w:semiHidden/>
    <w:rsid w:val="003E594E"/>
    <w:pPr>
      <w:spacing w:after="0" w:line="240" w:lineRule="auto"/>
    </w:pPr>
  </w:style>
  <w:style w:type="paragraph" w:styleId="FootnoteText">
    <w:name w:val="footnote text"/>
    <w:basedOn w:val="Normal"/>
    <w:link w:val="FootnoteTextChar"/>
    <w:semiHidden/>
    <w:unhideWhenUsed/>
    <w:rsid w:val="009E7B72"/>
    <w:pPr>
      <w:spacing w:after="0" w:line="240" w:lineRule="auto"/>
    </w:pPr>
    <w:rPr>
      <w:sz w:val="20"/>
      <w:szCs w:val="20"/>
    </w:rPr>
  </w:style>
  <w:style w:type="character" w:customStyle="1" w:styleId="FootnoteTextChar">
    <w:name w:val="Footnote Text Char"/>
    <w:basedOn w:val="DefaultParagraphFont"/>
    <w:link w:val="FootnoteText"/>
    <w:semiHidden/>
    <w:rsid w:val="009E7B72"/>
    <w:rPr>
      <w:sz w:val="20"/>
      <w:szCs w:val="20"/>
    </w:rPr>
  </w:style>
  <w:style w:type="character" w:styleId="FootnoteReference">
    <w:name w:val="footnote reference"/>
    <w:basedOn w:val="DefaultParagraphFont"/>
    <w:uiPriority w:val="99"/>
    <w:semiHidden/>
    <w:unhideWhenUsed/>
    <w:rsid w:val="009E7B72"/>
    <w:rPr>
      <w:vertAlign w:val="superscript"/>
    </w:rPr>
  </w:style>
  <w:style w:type="table" w:customStyle="1" w:styleId="TableGrid1">
    <w:name w:val="Table Grid1"/>
    <w:basedOn w:val="TableNormal"/>
    <w:next w:val="TableGrid"/>
    <w:uiPriority w:val="59"/>
    <w:rsid w:val="009E7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BodyText">
    <w:name w:val="23 Body Text"/>
    <w:basedOn w:val="Normal"/>
    <w:rsid w:val="009E7B72"/>
    <w:pPr>
      <w:spacing w:after="120" w:line="264" w:lineRule="auto"/>
      <w:jc w:val="both"/>
    </w:pPr>
    <w:rPr>
      <w:rFonts w:ascii="Arial" w:eastAsia="LF_Kai" w:hAnsi="Arial" w:cs="Arial"/>
      <w:color w:val="000000"/>
      <w:sz w:val="20"/>
      <w:szCs w:val="24"/>
      <w:lang w:eastAsia="zh-CN" w:bidi="yi-Hebr"/>
    </w:rPr>
  </w:style>
  <w:style w:type="paragraph" w:styleId="ListParagraph">
    <w:name w:val="List Paragraph"/>
    <w:basedOn w:val="Normal"/>
    <w:uiPriority w:val="34"/>
    <w:qFormat/>
    <w:rsid w:val="005077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1742">
      <w:bodyDiv w:val="1"/>
      <w:marLeft w:val="0"/>
      <w:marRight w:val="0"/>
      <w:marTop w:val="0"/>
      <w:marBottom w:val="0"/>
      <w:divBdr>
        <w:top w:val="none" w:sz="0" w:space="0" w:color="auto"/>
        <w:left w:val="none" w:sz="0" w:space="0" w:color="auto"/>
        <w:bottom w:val="none" w:sz="0" w:space="0" w:color="auto"/>
        <w:right w:val="none" w:sz="0" w:space="0" w:color="auto"/>
      </w:divBdr>
    </w:div>
    <w:div w:id="159585663">
      <w:bodyDiv w:val="1"/>
      <w:marLeft w:val="0"/>
      <w:marRight w:val="0"/>
      <w:marTop w:val="0"/>
      <w:marBottom w:val="0"/>
      <w:divBdr>
        <w:top w:val="none" w:sz="0" w:space="0" w:color="auto"/>
        <w:left w:val="none" w:sz="0" w:space="0" w:color="auto"/>
        <w:bottom w:val="none" w:sz="0" w:space="0" w:color="auto"/>
        <w:right w:val="none" w:sz="0" w:space="0" w:color="auto"/>
      </w:divBdr>
    </w:div>
    <w:div w:id="364451010">
      <w:bodyDiv w:val="1"/>
      <w:marLeft w:val="0"/>
      <w:marRight w:val="0"/>
      <w:marTop w:val="0"/>
      <w:marBottom w:val="0"/>
      <w:divBdr>
        <w:top w:val="none" w:sz="0" w:space="0" w:color="auto"/>
        <w:left w:val="none" w:sz="0" w:space="0" w:color="auto"/>
        <w:bottom w:val="none" w:sz="0" w:space="0" w:color="auto"/>
        <w:right w:val="none" w:sz="0" w:space="0" w:color="auto"/>
      </w:divBdr>
    </w:div>
    <w:div w:id="477769293">
      <w:bodyDiv w:val="1"/>
      <w:marLeft w:val="0"/>
      <w:marRight w:val="0"/>
      <w:marTop w:val="0"/>
      <w:marBottom w:val="0"/>
      <w:divBdr>
        <w:top w:val="none" w:sz="0" w:space="0" w:color="auto"/>
        <w:left w:val="none" w:sz="0" w:space="0" w:color="auto"/>
        <w:bottom w:val="none" w:sz="0" w:space="0" w:color="auto"/>
        <w:right w:val="none" w:sz="0" w:space="0" w:color="auto"/>
      </w:divBdr>
    </w:div>
    <w:div w:id="520626455">
      <w:bodyDiv w:val="1"/>
      <w:marLeft w:val="0"/>
      <w:marRight w:val="0"/>
      <w:marTop w:val="0"/>
      <w:marBottom w:val="0"/>
      <w:divBdr>
        <w:top w:val="none" w:sz="0" w:space="0" w:color="auto"/>
        <w:left w:val="none" w:sz="0" w:space="0" w:color="auto"/>
        <w:bottom w:val="none" w:sz="0" w:space="0" w:color="auto"/>
        <w:right w:val="none" w:sz="0" w:space="0" w:color="auto"/>
      </w:divBdr>
    </w:div>
    <w:div w:id="1057819591">
      <w:bodyDiv w:val="1"/>
      <w:marLeft w:val="0"/>
      <w:marRight w:val="0"/>
      <w:marTop w:val="0"/>
      <w:marBottom w:val="0"/>
      <w:divBdr>
        <w:top w:val="none" w:sz="0" w:space="0" w:color="auto"/>
        <w:left w:val="none" w:sz="0" w:space="0" w:color="auto"/>
        <w:bottom w:val="none" w:sz="0" w:space="0" w:color="auto"/>
        <w:right w:val="none" w:sz="0" w:space="0" w:color="auto"/>
      </w:divBdr>
    </w:div>
    <w:div w:id="1069502522">
      <w:bodyDiv w:val="1"/>
      <w:marLeft w:val="0"/>
      <w:marRight w:val="0"/>
      <w:marTop w:val="0"/>
      <w:marBottom w:val="0"/>
      <w:divBdr>
        <w:top w:val="none" w:sz="0" w:space="0" w:color="auto"/>
        <w:left w:val="none" w:sz="0" w:space="0" w:color="auto"/>
        <w:bottom w:val="none" w:sz="0" w:space="0" w:color="auto"/>
        <w:right w:val="none" w:sz="0" w:space="0" w:color="auto"/>
      </w:divBdr>
    </w:div>
    <w:div w:id="1101098795">
      <w:bodyDiv w:val="1"/>
      <w:marLeft w:val="0"/>
      <w:marRight w:val="0"/>
      <w:marTop w:val="0"/>
      <w:marBottom w:val="0"/>
      <w:divBdr>
        <w:top w:val="none" w:sz="0" w:space="0" w:color="auto"/>
        <w:left w:val="none" w:sz="0" w:space="0" w:color="auto"/>
        <w:bottom w:val="none" w:sz="0" w:space="0" w:color="auto"/>
        <w:right w:val="none" w:sz="0" w:space="0" w:color="auto"/>
      </w:divBdr>
    </w:div>
    <w:div w:id="1118336655">
      <w:bodyDiv w:val="1"/>
      <w:marLeft w:val="0"/>
      <w:marRight w:val="0"/>
      <w:marTop w:val="0"/>
      <w:marBottom w:val="0"/>
      <w:divBdr>
        <w:top w:val="none" w:sz="0" w:space="0" w:color="auto"/>
        <w:left w:val="none" w:sz="0" w:space="0" w:color="auto"/>
        <w:bottom w:val="none" w:sz="0" w:space="0" w:color="auto"/>
        <w:right w:val="none" w:sz="0" w:space="0" w:color="auto"/>
      </w:divBdr>
    </w:div>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338338793">
      <w:bodyDiv w:val="1"/>
      <w:marLeft w:val="0"/>
      <w:marRight w:val="0"/>
      <w:marTop w:val="0"/>
      <w:marBottom w:val="0"/>
      <w:divBdr>
        <w:top w:val="none" w:sz="0" w:space="0" w:color="auto"/>
        <w:left w:val="none" w:sz="0" w:space="0" w:color="auto"/>
        <w:bottom w:val="none" w:sz="0" w:space="0" w:color="auto"/>
        <w:right w:val="none" w:sz="0" w:space="0" w:color="auto"/>
      </w:divBdr>
    </w:div>
    <w:div w:id="1474327139">
      <w:bodyDiv w:val="1"/>
      <w:marLeft w:val="0"/>
      <w:marRight w:val="0"/>
      <w:marTop w:val="0"/>
      <w:marBottom w:val="0"/>
      <w:divBdr>
        <w:top w:val="none" w:sz="0" w:space="0" w:color="auto"/>
        <w:left w:val="none" w:sz="0" w:space="0" w:color="auto"/>
        <w:bottom w:val="none" w:sz="0" w:space="0" w:color="auto"/>
        <w:right w:val="none" w:sz="0" w:space="0" w:color="auto"/>
      </w:divBdr>
    </w:div>
    <w:div w:id="1522009726">
      <w:bodyDiv w:val="1"/>
      <w:marLeft w:val="0"/>
      <w:marRight w:val="0"/>
      <w:marTop w:val="0"/>
      <w:marBottom w:val="0"/>
      <w:divBdr>
        <w:top w:val="none" w:sz="0" w:space="0" w:color="auto"/>
        <w:left w:val="none" w:sz="0" w:space="0" w:color="auto"/>
        <w:bottom w:val="none" w:sz="0" w:space="0" w:color="auto"/>
        <w:right w:val="none" w:sz="0" w:space="0" w:color="auto"/>
      </w:divBdr>
    </w:div>
    <w:div w:id="1545679114">
      <w:bodyDiv w:val="1"/>
      <w:marLeft w:val="0"/>
      <w:marRight w:val="0"/>
      <w:marTop w:val="0"/>
      <w:marBottom w:val="0"/>
      <w:divBdr>
        <w:top w:val="none" w:sz="0" w:space="0" w:color="auto"/>
        <w:left w:val="none" w:sz="0" w:space="0" w:color="auto"/>
        <w:bottom w:val="none" w:sz="0" w:space="0" w:color="auto"/>
        <w:right w:val="none" w:sz="0" w:space="0" w:color="auto"/>
      </w:divBdr>
    </w:div>
    <w:div w:id="1577977043">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 w:id="1824352044">
      <w:bodyDiv w:val="1"/>
      <w:marLeft w:val="0"/>
      <w:marRight w:val="0"/>
      <w:marTop w:val="0"/>
      <w:marBottom w:val="0"/>
      <w:divBdr>
        <w:top w:val="none" w:sz="0" w:space="0" w:color="auto"/>
        <w:left w:val="none" w:sz="0" w:space="0" w:color="auto"/>
        <w:bottom w:val="none" w:sz="0" w:space="0" w:color="auto"/>
        <w:right w:val="none" w:sz="0" w:space="0" w:color="auto"/>
      </w:divBdr>
    </w:div>
    <w:div w:id="1865359891">
      <w:bodyDiv w:val="1"/>
      <w:marLeft w:val="0"/>
      <w:marRight w:val="0"/>
      <w:marTop w:val="0"/>
      <w:marBottom w:val="0"/>
      <w:divBdr>
        <w:top w:val="none" w:sz="0" w:space="0" w:color="auto"/>
        <w:left w:val="none" w:sz="0" w:space="0" w:color="auto"/>
        <w:bottom w:val="none" w:sz="0" w:space="0" w:color="auto"/>
        <w:right w:val="none" w:sz="0" w:space="0" w:color="auto"/>
      </w:divBdr>
    </w:div>
    <w:div w:id="2055110159">
      <w:bodyDiv w:val="1"/>
      <w:marLeft w:val="0"/>
      <w:marRight w:val="0"/>
      <w:marTop w:val="0"/>
      <w:marBottom w:val="0"/>
      <w:divBdr>
        <w:top w:val="none" w:sz="0" w:space="0" w:color="auto"/>
        <w:left w:val="none" w:sz="0" w:space="0" w:color="auto"/>
        <w:bottom w:val="none" w:sz="0" w:space="0" w:color="auto"/>
        <w:right w:val="none" w:sz="0" w:space="0" w:color="auto"/>
      </w:divBdr>
    </w:div>
    <w:div w:id="212391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pmorgan.com/disclosures" TargetMode="External"/><Relationship Id="rId18" Type="http://schemas.openxmlformats.org/officeDocument/2006/relationships/hyperlink" Target="https://privatebank.jpmorgan.com/gl/en/disclosures/emea-important-information" TargetMode="External"/><Relationship Id="rId26" Type="http://schemas.openxmlformats.org/officeDocument/2006/relationships/hyperlink" Target="https://www.jpmorgan.com/content/dam/jpm/global/disclosures/us/20201230-ficc-and-edg-execution-policy-mifid-master-draft-dec2020-app-5.pdf" TargetMode="External"/><Relationship Id="rId39" Type="http://schemas.openxmlformats.org/officeDocument/2006/relationships/hyperlink" Target="https://www.jpmorgan.com/content/dam/jpm/global/disclosures/us/appendix1-list-of-execution-venues.pdf" TargetMode="External"/><Relationship Id="rId21" Type="http://schemas.openxmlformats.org/officeDocument/2006/relationships/hyperlink" Target="https://www.jpmorgan.com/content/dam/jpm/global/disclosures/us/20211213-main-execution-policy-jan-2022.pdf" TargetMode="External"/><Relationship Id="rId34" Type="http://schemas.openxmlformats.org/officeDocument/2006/relationships/hyperlink" Target="https://privatebank.jpmorgan.com/gl/en/disclosures/emea-important-information" TargetMode="External"/><Relationship Id="rId42" Type="http://schemas.openxmlformats.org/officeDocument/2006/relationships/hyperlink" Target="https://www.jpmorgan.com/disclosures" TargetMode="External"/><Relationship Id="rId47" Type="http://schemas.openxmlformats.org/officeDocument/2006/relationships/hyperlink" Target="https://www.jpmorgan.com/content/dam/jpm/global/disclosures/us/appendix1-list-of-execution-venues.pdf" TargetMode="External"/><Relationship Id="rId50" Type="http://schemas.openxmlformats.org/officeDocument/2006/relationships/hyperlink" Target="https://www.jpmorgan.com/disclosures" TargetMode="External"/><Relationship Id="rId55" Type="http://schemas.openxmlformats.org/officeDocument/2006/relationships/hyperlink" Target="https://www.jpmorgan.com/content/dam/jpm/global/disclosures/us/appendix1-list-of-execution-venues.pdf" TargetMode="External"/><Relationship Id="rId63" Type="http://schemas.openxmlformats.org/officeDocument/2006/relationships/hyperlink" Target="https://www.jpmorgan.com/content/dam/jpm/global/disclosures/us/appendix1-list-of-execution-venues.pdf" TargetMode="External"/><Relationship Id="rId68" Type="http://schemas.openxmlformats.org/officeDocument/2006/relationships/theme" Target="theme/theme1.xml"/><Relationship Id="rId7" Type="http://schemas.openxmlformats.org/officeDocument/2006/relationships/hyperlink" Target="https://www.jpmorgan.com/content/dam/jpm/global/disclosures/us/new-appendix-4-emea-securities-services-execution-policy.pdf" TargetMode="External"/><Relationship Id="rId2" Type="http://schemas.openxmlformats.org/officeDocument/2006/relationships/styles" Target="styles.xml"/><Relationship Id="rId16" Type="http://schemas.openxmlformats.org/officeDocument/2006/relationships/hyperlink" Target="https://www.jpmorgan.com/content/dam/jpm/global/disclosures/us/20201230-ficc-and-edg-execution-policy-mifid-master-draft-dec2020-app-5.pdf" TargetMode="External"/><Relationship Id="rId29" Type="http://schemas.openxmlformats.org/officeDocument/2006/relationships/hyperlink" Target="https://www.jpmorgan.com/content/dam/jpm/global/disclosures/us/20201230-ficc-and-edg-execution-policy-mifid-master-draft-dec2020-app-5.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jpmorgan.com/content/dam/jpm/global/disclosures/us/FOBestExecutionPolicyFinal_202201_FINAL.pdf" TargetMode="External"/><Relationship Id="rId24" Type="http://schemas.openxmlformats.org/officeDocument/2006/relationships/hyperlink" Target="https://www.jpmorgan.com/content/dam/jpm/global/disclosures/us/20201230-ficc-and-edg-execution-policy-mifid-master-draft-dec2020-app-5.pdf" TargetMode="External"/><Relationship Id="rId32" Type="http://schemas.openxmlformats.org/officeDocument/2006/relationships/hyperlink" Target="https://www.jpmorgan.com/content/dam/jpm/global/disclosures/us/20201230-ficc-and-edg-execution-policy-mifid-master-draft-dec2020-app-5.pdf" TargetMode="External"/><Relationship Id="rId37" Type="http://schemas.openxmlformats.org/officeDocument/2006/relationships/hyperlink" Target="https://www.jpmorgan.com/content/dam/jpm/global/disclosures/us/new-appendix-4-emea-securities-services-execution-policy.pdf" TargetMode="External"/><Relationship Id="rId40" Type="http://schemas.openxmlformats.org/officeDocument/2006/relationships/hyperlink" Target="https://privatebank.jpmorgan.com/gl/en/disclosures/emea-important-information" TargetMode="External"/><Relationship Id="rId45" Type="http://schemas.openxmlformats.org/officeDocument/2006/relationships/hyperlink" Target="https://www.jpmorgan.com/content/dam/jpm/global/disclosures/us/new-appendix-4-emea-securities-services-execution-policy.pdf" TargetMode="External"/><Relationship Id="rId53" Type="http://schemas.openxmlformats.org/officeDocument/2006/relationships/hyperlink" Target="https://www.jpmorgan.com/content/dam/jpm/global/disclosures/us/new-appendix-4-emea-securities-services-execution-policy.pdf" TargetMode="External"/><Relationship Id="rId58" Type="http://schemas.openxmlformats.org/officeDocument/2006/relationships/hyperlink" Target="https://www.jpmorgan.com/disclosures" TargetMode="External"/><Relationship Id="rId66"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jpmorgan.com/content/dam/jpm/global/disclosures/us/FOBestExecutionPolicyFinal_202201_FINAL.pdf" TargetMode="External"/><Relationship Id="rId23" Type="http://schemas.openxmlformats.org/officeDocument/2006/relationships/hyperlink" Target="https://www.jpmorgan.com/content/dam/jpm/global/disclosures/us/20201230-ficc-and-edg-execution-policy-mifid-master-draft-dec2020-app-5.pdf" TargetMode="External"/><Relationship Id="rId28" Type="http://schemas.openxmlformats.org/officeDocument/2006/relationships/hyperlink" Target="https://www.jpmorgan.com/content/dam/jpm/global/disclosures/us/20211213-main-execution-policy-jan-2022.pdf" TargetMode="External"/><Relationship Id="rId36" Type="http://schemas.openxmlformats.org/officeDocument/2006/relationships/hyperlink" Target="https://www.jpmorgan.com/content/dam/jpm/global/disclosures/us/20211213-main-execution-policy-jan-2022.pdf" TargetMode="External"/><Relationship Id="rId49" Type="http://schemas.openxmlformats.org/officeDocument/2006/relationships/hyperlink" Target="https://www.jpmorgan.com/content/dam/jpm/global/disclosures/us/new-appendix-4-emea-securities-services-execution-policy.pdf" TargetMode="External"/><Relationship Id="rId57" Type="http://schemas.openxmlformats.org/officeDocument/2006/relationships/hyperlink" Target="https://www.jpmorgan.com/content/dam/jpm/global/disclosures/us/new-appendix-4-emea-securities-services-execution-policy.pdf" TargetMode="External"/><Relationship Id="rId61" Type="http://schemas.openxmlformats.org/officeDocument/2006/relationships/hyperlink" Target="https://www.jpmorgan.com/content/dam/jpm/global/disclosures/us/new-appendix-4-emea-securities-services-execution-policy.pdf" TargetMode="External"/><Relationship Id="rId10" Type="http://schemas.openxmlformats.org/officeDocument/2006/relationships/hyperlink" Target="https://privatebank.jpmorgan.com/gl/en/disclosures/emea-important-information" TargetMode="External"/><Relationship Id="rId19" Type="http://schemas.openxmlformats.org/officeDocument/2006/relationships/hyperlink" Target="https://www.jpmorgan.com/content/dam/jpm/global/disclosures/us/20201230-ficc-and-edg-execution-policy-mifid-master-draft-dec2020-app-5.pdf" TargetMode="External"/><Relationship Id="rId31" Type="http://schemas.openxmlformats.org/officeDocument/2006/relationships/hyperlink" Target="https://privatebank.jpmorgan.com/gl/en/disclosures/emea-important-information" TargetMode="External"/><Relationship Id="rId44" Type="http://schemas.openxmlformats.org/officeDocument/2006/relationships/hyperlink" Target="https://privatebank.jpmorgan.com/gl/en/disclosures/emea-important-information" TargetMode="External"/><Relationship Id="rId52" Type="http://schemas.openxmlformats.org/officeDocument/2006/relationships/hyperlink" Target="https://privatebank.jpmorgan.com/gl/en/disclosures/emea-important-information" TargetMode="External"/><Relationship Id="rId60" Type="http://schemas.openxmlformats.org/officeDocument/2006/relationships/hyperlink" Target="https://privatebank.jpmorgan.com/gl/en/disclosures/emea-important-information" TargetMode="External"/><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jpmorgan.com/content/dam/jpm/global/disclosures/us/mifidii-appendix2-cash-equities-policy.pdf" TargetMode="External"/><Relationship Id="rId14" Type="http://schemas.openxmlformats.org/officeDocument/2006/relationships/hyperlink" Target="https://privatebank.jpmorgan.com/gl/en/disclosures/emea-important-information" TargetMode="External"/><Relationship Id="rId22" Type="http://schemas.openxmlformats.org/officeDocument/2006/relationships/hyperlink" Target="https://www.jpmorgan.com/content/dam/jpm/global/disclosures/us/20201230-ficc-and-edg-execution-policy-mifid-master-draft-dec2020-app-5.pdf" TargetMode="External"/><Relationship Id="rId27" Type="http://schemas.openxmlformats.org/officeDocument/2006/relationships/hyperlink" Target="https://www.jpmorgan.com/content/dam/jpm/global/disclosures/us/20211213-main-execution-policy-jan-2022.pdf" TargetMode="External"/><Relationship Id="rId30" Type="http://schemas.openxmlformats.org/officeDocument/2006/relationships/hyperlink" Target="https://www.jpmorgan.com/content/dam/jpm/global/disclosures/us/20211213-main-execution-policy-jan-2022.pdf" TargetMode="External"/><Relationship Id="rId35" Type="http://schemas.openxmlformats.org/officeDocument/2006/relationships/hyperlink" Target="https://www.jpmorgan.com/content/dam/jpm/global/disclosures/us/20201230-ficc-and-edg-execution-policy-mifid-master-draft-dec2020-app-5.pdf" TargetMode="External"/><Relationship Id="rId43" Type="http://schemas.openxmlformats.org/officeDocument/2006/relationships/hyperlink" Target="https://www.jpmorgan.com/content/dam/jpm/global/disclosures/us/appendix1-list-of-execution-venues.pdf" TargetMode="External"/><Relationship Id="rId48" Type="http://schemas.openxmlformats.org/officeDocument/2006/relationships/hyperlink" Target="https://privatebank.jpmorgan.com/gl/en/disclosures/emea-important-information" TargetMode="External"/><Relationship Id="rId56" Type="http://schemas.openxmlformats.org/officeDocument/2006/relationships/hyperlink" Target="https://privatebank.jpmorgan.com/gl/en/disclosures/emea-important-information" TargetMode="External"/><Relationship Id="rId64" Type="http://schemas.openxmlformats.org/officeDocument/2006/relationships/hyperlink" Target="https://privatebank.jpmorgan.com/gl/en/disclosures/emea-important-information" TargetMode="External"/><Relationship Id="rId8" Type="http://schemas.openxmlformats.org/officeDocument/2006/relationships/hyperlink" Target="https://www.jpmorgan.com/content/dam/jpm/global/disclosures/us/new-appendix-4-emea-securities-services-execution-policy.pdf" TargetMode="External"/><Relationship Id="rId51" Type="http://schemas.openxmlformats.org/officeDocument/2006/relationships/hyperlink" Target="https://www.jpmorgan.com/content/dam/jpm/global/disclosures/us/appendix1-list-of-execution-venues.pdf" TargetMode="External"/><Relationship Id="rId3" Type="http://schemas.openxmlformats.org/officeDocument/2006/relationships/settings" Target="settings.xml"/><Relationship Id="rId12" Type="http://schemas.openxmlformats.org/officeDocument/2006/relationships/hyperlink" Target="https://www.jpmorgan.com/content/dam/jpm/global/disclosures/us/FOBestExecutionPolicyFinal_202201_FINAL.pdf" TargetMode="External"/><Relationship Id="rId17" Type="http://schemas.openxmlformats.org/officeDocument/2006/relationships/hyperlink" Target="https://www.jpmorgan.com/content/dam/jpm/global/disclosures/us/20211213-main-execution-policy-jan-2022.pdf" TargetMode="External"/><Relationship Id="rId25" Type="http://schemas.openxmlformats.org/officeDocument/2006/relationships/hyperlink" Target="https://privatebank.jpmorgan.com/gl/en/disclosures/emea-important-information" TargetMode="External"/><Relationship Id="rId33" Type="http://schemas.openxmlformats.org/officeDocument/2006/relationships/hyperlink" Target="https://www.jpmorgan.com/content/dam/jpm/global/disclosures/us/20211213-main-execution-policy-jan-2022.pdf" TargetMode="External"/><Relationship Id="rId38" Type="http://schemas.openxmlformats.org/officeDocument/2006/relationships/hyperlink" Target="https://www.jpmorgan.com/disclosures" TargetMode="External"/><Relationship Id="rId46" Type="http://schemas.openxmlformats.org/officeDocument/2006/relationships/hyperlink" Target="https://www.jpmorgan.com/disclosures" TargetMode="External"/><Relationship Id="rId59" Type="http://schemas.openxmlformats.org/officeDocument/2006/relationships/hyperlink" Target="https://www.jpmorgan.com/content/dam/jpm/global/disclosures/us/appendix1-list-of-execution-venues.pdf" TargetMode="External"/><Relationship Id="rId67" Type="http://schemas.openxmlformats.org/officeDocument/2006/relationships/fontTable" Target="fontTable.xml"/><Relationship Id="rId20" Type="http://schemas.openxmlformats.org/officeDocument/2006/relationships/hyperlink" Target="https://www.jpmorgan.com/jpmpdf/1320748011586.pdf" TargetMode="External"/><Relationship Id="rId41" Type="http://schemas.openxmlformats.org/officeDocument/2006/relationships/hyperlink" Target="https://www.jpmorgan.com/content/dam/jpm/global/disclosures/us/new-appendix-4-emea-securities-services-execution-policy.pdf" TargetMode="External"/><Relationship Id="rId54" Type="http://schemas.openxmlformats.org/officeDocument/2006/relationships/hyperlink" Target="https://www.jpmorgan.com/disclosures" TargetMode="External"/><Relationship Id="rId62" Type="http://schemas.openxmlformats.org/officeDocument/2006/relationships/hyperlink" Target="https://www.jpmorgan.com/disclosure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jpmorgan.com/news/jpm-consolidates-majority-of-eu-client-facing-business-into-single-legal-entity-jpms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privatebank.jpmorgan.com/gl/en/disclosures/emea-important-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51047-BFCC-41CA-B968-C93F005A5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7992</Words>
  <Characters>45559</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2023-04-06T14:53:00Z</dcterms:created>
  <dcterms:modified xsi:type="dcterms:W3CDTF">2023-04-06T14:53:00Z</dcterms:modified>
</cp:coreProperties>
</file>