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75A77" w14:textId="6019915B" w:rsidR="000303E1" w:rsidRDefault="000303E1" w:rsidP="007A6941">
      <w:pPr>
        <w:rPr>
          <w:color w:val="FF0000"/>
          <w:sz w:val="18"/>
          <w:szCs w:val="18"/>
        </w:rPr>
      </w:pPr>
    </w:p>
    <w:p w14:paraId="4FEA3D87" w14:textId="68474C57" w:rsidR="003C66DE" w:rsidRDefault="003C66DE" w:rsidP="007A6941">
      <w:pPr>
        <w:rPr>
          <w:color w:val="FF0000"/>
          <w:sz w:val="18"/>
          <w:szCs w:val="18"/>
        </w:rPr>
      </w:pPr>
    </w:p>
    <w:p w14:paraId="12489FD1" w14:textId="0727D239" w:rsidR="003C66DE" w:rsidRDefault="003C66DE" w:rsidP="007A6941">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3C66DE" w:rsidRPr="000D0F33" w14:paraId="461E9120"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8E6206C" w14:textId="77777777" w:rsidR="003C66DE" w:rsidRPr="000D0F33" w:rsidRDefault="003C66DE" w:rsidP="002579EE">
            <w:pPr>
              <w:rPr>
                <w:sz w:val="18"/>
                <w:szCs w:val="18"/>
              </w:rPr>
            </w:pPr>
            <w:r w:rsidRPr="000D0F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F76A82D" w14:textId="77777777" w:rsidR="003C66DE" w:rsidRPr="000D0F33" w:rsidRDefault="003C66DE" w:rsidP="002579EE">
            <w:pPr>
              <w:spacing w:after="120"/>
              <w:jc w:val="both"/>
              <w:rPr>
                <w:sz w:val="18"/>
                <w:szCs w:val="18"/>
              </w:rPr>
            </w:pPr>
            <w:r w:rsidRPr="000D0F33">
              <w:rPr>
                <w:sz w:val="18"/>
                <w:szCs w:val="18"/>
              </w:rPr>
              <w:t>J.P. Morgan AG (549300ZK53CNGEEI6A29)</w:t>
            </w:r>
          </w:p>
        </w:tc>
      </w:tr>
      <w:tr w:rsidR="003C66DE" w:rsidRPr="000D0F33" w14:paraId="5290E3C8"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DB25D1B" w14:textId="77777777" w:rsidR="003C66DE" w:rsidRPr="000D0F33" w:rsidRDefault="003C66DE" w:rsidP="002579EE">
            <w:pPr>
              <w:rPr>
                <w:sz w:val="18"/>
                <w:szCs w:val="18"/>
              </w:rPr>
            </w:pPr>
            <w:r w:rsidRPr="000D0F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EAA9E89" w14:textId="77777777" w:rsidR="003C66DE" w:rsidRPr="000D0F33" w:rsidRDefault="003C66DE" w:rsidP="002579EE">
            <w:pPr>
              <w:spacing w:after="120"/>
              <w:jc w:val="both"/>
              <w:rPr>
                <w:color w:val="0000FF"/>
                <w:sz w:val="18"/>
                <w:szCs w:val="18"/>
              </w:rPr>
            </w:pPr>
            <w:r w:rsidRPr="000D0F33">
              <w:rPr>
                <w:sz w:val="18"/>
                <w:szCs w:val="18"/>
              </w:rPr>
              <w:t xml:space="preserve">Currency </w:t>
            </w:r>
            <w:r>
              <w:rPr>
                <w:sz w:val="18"/>
                <w:szCs w:val="18"/>
              </w:rPr>
              <w:t>d</w:t>
            </w:r>
            <w:r w:rsidRPr="000D0F33">
              <w:rPr>
                <w:sz w:val="18"/>
                <w:szCs w:val="18"/>
              </w:rPr>
              <w:t>erivatives: Swaps, forwards, and other currency derivatives</w:t>
            </w:r>
          </w:p>
        </w:tc>
      </w:tr>
      <w:tr w:rsidR="003C66DE" w:rsidRPr="000D0F33" w14:paraId="7DAEF93E" w14:textId="77777777" w:rsidTr="002579E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B7F4CB8" w14:textId="77777777" w:rsidR="003C66DE" w:rsidRPr="000D0F33" w:rsidRDefault="003C66DE" w:rsidP="002579EE">
            <w:pPr>
              <w:jc w:val="center"/>
              <w:rPr>
                <w:sz w:val="18"/>
                <w:szCs w:val="18"/>
              </w:rPr>
            </w:pPr>
            <w:r w:rsidRPr="000D0F33">
              <w:rPr>
                <w:sz w:val="18"/>
                <w:szCs w:val="18"/>
              </w:rPr>
              <w:t>Summary of Analysis</w:t>
            </w:r>
          </w:p>
        </w:tc>
      </w:tr>
      <w:tr w:rsidR="003C66DE" w:rsidRPr="000D0F33" w14:paraId="66935BCC" w14:textId="77777777" w:rsidTr="002579EE">
        <w:trPr>
          <w:trHeight w:val="827"/>
        </w:trPr>
        <w:tc>
          <w:tcPr>
            <w:tcW w:w="14400" w:type="dxa"/>
            <w:gridSpan w:val="2"/>
            <w:tcBorders>
              <w:left w:val="single" w:sz="12" w:space="0" w:color="auto"/>
              <w:right w:val="single" w:sz="12" w:space="0" w:color="auto"/>
            </w:tcBorders>
          </w:tcPr>
          <w:p w14:paraId="3C9CCDE3" w14:textId="666C2A08" w:rsidR="003C66DE" w:rsidRPr="000D0F33" w:rsidRDefault="003C66DE" w:rsidP="002579EE">
            <w:pPr>
              <w:spacing w:after="120"/>
              <w:jc w:val="both"/>
              <w:rPr>
                <w:sz w:val="18"/>
                <w:szCs w:val="18"/>
              </w:rPr>
            </w:pPr>
            <w:r>
              <w:rPr>
                <w:sz w:val="18"/>
                <w:szCs w:val="18"/>
              </w:rPr>
              <w:t>For the year of 2020 i</w:t>
            </w:r>
            <w:r w:rsidRPr="002300EB">
              <w:rPr>
                <w:sz w:val="18"/>
                <w:szCs w:val="18"/>
              </w:rPr>
              <w:t xml:space="preserve">n respect of eCommerce Orders, </w:t>
            </w:r>
            <w:r w:rsidRPr="000D0F33">
              <w:rPr>
                <w:sz w:val="18"/>
                <w:szCs w:val="18"/>
              </w:rPr>
              <w:t xml:space="preserve">J.P. Morgan AG </w:t>
            </w:r>
            <w:r w:rsidRPr="002300EB">
              <w:rPr>
                <w:sz w:val="18"/>
                <w:szCs w:val="18"/>
              </w:rPr>
              <w:t>collated quoted bid/offer spreads over a rolling timeframe</w:t>
            </w:r>
            <w:r>
              <w:rPr>
                <w:sz w:val="18"/>
                <w:szCs w:val="18"/>
              </w:rPr>
              <w:t xml:space="preserve">. </w:t>
            </w:r>
            <w:r w:rsidRPr="002300EB">
              <w:rPr>
                <w:sz w:val="18"/>
                <w:szCs w:val="18"/>
              </w:rPr>
              <w:t xml:space="preserve"> </w:t>
            </w:r>
            <w:r>
              <w:rPr>
                <w:sz w:val="18"/>
                <w:szCs w:val="18"/>
              </w:rPr>
              <w:t>T</w:t>
            </w:r>
            <w:r w:rsidRPr="002300EB">
              <w:rPr>
                <w:sz w:val="18"/>
                <w:szCs w:val="18"/>
              </w:rPr>
              <w:t xml:space="preserve">hese </w:t>
            </w:r>
            <w:r>
              <w:rPr>
                <w:sz w:val="18"/>
                <w:szCs w:val="18"/>
              </w:rPr>
              <w:t>were compared to</w:t>
            </w:r>
            <w:r w:rsidRPr="002300EB">
              <w:rPr>
                <w:sz w:val="18"/>
                <w:szCs w:val="18"/>
              </w:rPr>
              <w:t xml:space="preserve"> completed leave transactions</w:t>
            </w:r>
            <w:r>
              <w:rPr>
                <w:sz w:val="18"/>
                <w:szCs w:val="18"/>
              </w:rPr>
              <w:t xml:space="preserve"> (on a post-trade basis)</w:t>
            </w:r>
            <w:r w:rsidRPr="002300EB">
              <w:rPr>
                <w:sz w:val="18"/>
                <w:szCs w:val="18"/>
              </w:rPr>
              <w:t xml:space="preserve"> to identify outliers. </w:t>
            </w:r>
            <w:r w:rsidRPr="002300EB">
              <w:rPr>
                <w:bCs/>
                <w:color w:val="000000" w:themeColor="text1"/>
                <w:sz w:val="18"/>
                <w:szCs w:val="18"/>
              </w:rPr>
              <w:t xml:space="preserve">The results of </w:t>
            </w:r>
            <w:r w:rsidR="002D0CBC">
              <w:rPr>
                <w:bCs/>
                <w:color w:val="000000" w:themeColor="text1"/>
                <w:sz w:val="18"/>
                <w:szCs w:val="18"/>
              </w:rPr>
              <w:t>this</w:t>
            </w:r>
            <w:r>
              <w:rPr>
                <w:bCs/>
                <w:color w:val="000000" w:themeColor="text1"/>
                <w:sz w:val="18"/>
                <w:szCs w:val="18"/>
              </w:rPr>
              <w:t xml:space="preserve"> Best Execution</w:t>
            </w:r>
            <w:r w:rsidRPr="002300EB">
              <w:rPr>
                <w:bCs/>
                <w:color w:val="000000" w:themeColor="text1"/>
                <w:sz w:val="18"/>
                <w:szCs w:val="18"/>
              </w:rPr>
              <w:t xml:space="preserve"> </w:t>
            </w:r>
            <w:r w:rsidR="002D0CBC">
              <w:rPr>
                <w:bCs/>
                <w:color w:val="000000" w:themeColor="text1"/>
                <w:sz w:val="18"/>
                <w:szCs w:val="18"/>
              </w:rPr>
              <w:t>analysis</w:t>
            </w:r>
            <w:r w:rsidRPr="002300EB">
              <w:rPr>
                <w:bCs/>
                <w:color w:val="000000" w:themeColor="text1"/>
                <w:sz w:val="18"/>
                <w:szCs w:val="18"/>
              </w:rPr>
              <w:t xml:space="preserve"> were reviewed by </w:t>
            </w:r>
            <w:r w:rsidRPr="002300EB">
              <w:rPr>
                <w:color w:val="000000" w:themeColor="text1"/>
                <w:sz w:val="18"/>
                <w:szCs w:val="18"/>
              </w:rPr>
              <w:t xml:space="preserve">J.P. Morgan </w:t>
            </w:r>
            <w:r w:rsidRPr="002300EB">
              <w:rPr>
                <w:bCs/>
                <w:color w:val="000000" w:themeColor="text1"/>
                <w:sz w:val="18"/>
                <w:szCs w:val="18"/>
              </w:rPr>
              <w:t>m</w:t>
            </w:r>
            <w:r>
              <w:rPr>
                <w:bCs/>
                <w:color w:val="000000" w:themeColor="text1"/>
                <w:sz w:val="18"/>
                <w:szCs w:val="18"/>
              </w:rPr>
              <w:t>anagement and control functions and</w:t>
            </w:r>
            <w:r w:rsidRPr="002300EB">
              <w:rPr>
                <w:bCs/>
                <w:color w:val="000000" w:themeColor="text1"/>
                <w:sz w:val="18"/>
                <w:szCs w:val="18"/>
              </w:rPr>
              <w:t xml:space="preserve"> were in line with </w:t>
            </w:r>
            <w:r w:rsidRPr="000D0F33">
              <w:rPr>
                <w:sz w:val="18"/>
                <w:szCs w:val="18"/>
              </w:rPr>
              <w:t xml:space="preserve">J.P. Morgan AG </w:t>
            </w:r>
            <w:r w:rsidRPr="002300EB">
              <w:rPr>
                <w:bCs/>
                <w:color w:val="000000" w:themeColor="text1"/>
                <w:sz w:val="18"/>
                <w:szCs w:val="18"/>
              </w:rPr>
              <w:t>expectations</w:t>
            </w:r>
            <w:r w:rsidRPr="002300EB">
              <w:rPr>
                <w:b/>
                <w:bCs/>
                <w:color w:val="000000" w:themeColor="text1"/>
                <w:sz w:val="18"/>
                <w:szCs w:val="18"/>
              </w:rPr>
              <w:t>.</w:t>
            </w:r>
            <w:r w:rsidRPr="002300EB">
              <w:rPr>
                <w:sz w:val="18"/>
                <w:szCs w:val="18"/>
              </w:rPr>
              <w:t xml:space="preserve"> Clients direct their orders to </w:t>
            </w:r>
            <w:r w:rsidRPr="000D0F33">
              <w:rPr>
                <w:sz w:val="18"/>
                <w:szCs w:val="18"/>
              </w:rPr>
              <w:t xml:space="preserve">J.P. Morgan AG </w:t>
            </w:r>
            <w:r w:rsidRPr="002300EB">
              <w:rPr>
                <w:sz w:val="18"/>
                <w:szCs w:val="18"/>
              </w:rPr>
              <w:t>to execute as principal and we therefore treat all orders as directed as we are the sole execution venue.</w:t>
            </w:r>
          </w:p>
        </w:tc>
      </w:tr>
      <w:tr w:rsidR="003C66DE" w:rsidRPr="000D0F33" w14:paraId="566FAC4A" w14:textId="77777777" w:rsidTr="002579EE">
        <w:tc>
          <w:tcPr>
            <w:tcW w:w="4410" w:type="dxa"/>
            <w:tcBorders>
              <w:left w:val="single" w:sz="12" w:space="0" w:color="auto"/>
            </w:tcBorders>
            <w:shd w:val="clear" w:color="auto" w:fill="D9D9D9" w:themeFill="background1" w:themeFillShade="D9"/>
          </w:tcPr>
          <w:p w14:paraId="3E359540" w14:textId="77777777" w:rsidR="003C66DE" w:rsidRPr="000D0F33" w:rsidRDefault="003C66DE" w:rsidP="002579EE">
            <w:pPr>
              <w:rPr>
                <w:sz w:val="18"/>
                <w:szCs w:val="18"/>
              </w:rPr>
            </w:pPr>
            <w:r w:rsidRPr="000D0F33">
              <w:rPr>
                <w:sz w:val="18"/>
                <w:szCs w:val="18"/>
              </w:rPr>
              <w:t>Relative importance given to execution factors &amp; other considerations</w:t>
            </w:r>
          </w:p>
        </w:tc>
        <w:tc>
          <w:tcPr>
            <w:tcW w:w="9990" w:type="dxa"/>
            <w:tcBorders>
              <w:right w:val="single" w:sz="12" w:space="0" w:color="auto"/>
            </w:tcBorders>
          </w:tcPr>
          <w:p w14:paraId="28AB808F" w14:textId="77777777" w:rsidR="003C66DE" w:rsidRPr="000D0F33" w:rsidRDefault="003C66DE" w:rsidP="002579EE">
            <w:pPr>
              <w:spacing w:after="120"/>
              <w:jc w:val="both"/>
              <w:rPr>
                <w:i/>
                <w:sz w:val="18"/>
                <w:szCs w:val="18"/>
              </w:rPr>
            </w:pPr>
            <w:r w:rsidRPr="000D0F33">
              <w:rPr>
                <w:sz w:val="18"/>
                <w:szCs w:val="18"/>
              </w:rPr>
              <w:t xml:space="preserve">As per Appendix 5 of the </w:t>
            </w:r>
            <w:hyperlink r:id="rId10" w:history="1">
              <w:r w:rsidRPr="000D0F33">
                <w:rPr>
                  <w:rStyle w:val="Hyperlink"/>
                  <w:sz w:val="18"/>
                  <w:szCs w:val="18"/>
                </w:rPr>
                <w:t>J.P. Morgan Execution Policy</w:t>
              </w:r>
            </w:hyperlink>
            <w:r w:rsidRPr="000D0F33">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3C66DE" w:rsidRPr="000D0F33" w14:paraId="4388F821" w14:textId="77777777" w:rsidTr="002579EE">
        <w:tc>
          <w:tcPr>
            <w:tcW w:w="4410" w:type="dxa"/>
            <w:tcBorders>
              <w:left w:val="single" w:sz="12" w:space="0" w:color="auto"/>
            </w:tcBorders>
            <w:shd w:val="clear" w:color="auto" w:fill="D9D9D9" w:themeFill="background1" w:themeFillShade="D9"/>
          </w:tcPr>
          <w:p w14:paraId="15317185" w14:textId="77777777" w:rsidR="003C66DE" w:rsidRPr="000D0F33" w:rsidRDefault="003C66DE" w:rsidP="002579EE">
            <w:pPr>
              <w:rPr>
                <w:sz w:val="18"/>
                <w:szCs w:val="18"/>
              </w:rPr>
            </w:pPr>
            <w:r w:rsidRPr="000D0F33">
              <w:rPr>
                <w:sz w:val="18"/>
                <w:szCs w:val="18"/>
              </w:rPr>
              <w:t>Execution venue close links / conflicts of interest / common ownerships</w:t>
            </w:r>
          </w:p>
        </w:tc>
        <w:tc>
          <w:tcPr>
            <w:tcW w:w="9990" w:type="dxa"/>
            <w:tcBorders>
              <w:right w:val="single" w:sz="12" w:space="0" w:color="auto"/>
            </w:tcBorders>
          </w:tcPr>
          <w:p w14:paraId="24DCBE9B" w14:textId="77777777" w:rsidR="003C66DE" w:rsidRPr="000D0F33" w:rsidRDefault="003C66DE" w:rsidP="002579EE">
            <w:pPr>
              <w:rPr>
                <w:sz w:val="18"/>
                <w:szCs w:val="18"/>
              </w:rPr>
            </w:pPr>
            <w:r w:rsidRPr="000D0F33">
              <w:rPr>
                <w:sz w:val="18"/>
                <w:szCs w:val="18"/>
              </w:rPr>
              <w:t>J.P. Morgan AG is a fully owned subsidiary of JPMorgan Chase &amp; Co.</w:t>
            </w:r>
          </w:p>
        </w:tc>
      </w:tr>
      <w:tr w:rsidR="003C66DE" w:rsidRPr="000D0F33" w14:paraId="4044325D" w14:textId="77777777" w:rsidTr="002579EE">
        <w:tc>
          <w:tcPr>
            <w:tcW w:w="4410" w:type="dxa"/>
            <w:tcBorders>
              <w:left w:val="single" w:sz="12" w:space="0" w:color="auto"/>
            </w:tcBorders>
            <w:shd w:val="clear" w:color="auto" w:fill="D9D9D9" w:themeFill="background1" w:themeFillShade="D9"/>
          </w:tcPr>
          <w:p w14:paraId="78A3F030" w14:textId="77777777" w:rsidR="003C66DE" w:rsidRPr="000D0F33" w:rsidRDefault="003C66DE" w:rsidP="002579EE">
            <w:pPr>
              <w:rPr>
                <w:sz w:val="18"/>
                <w:szCs w:val="18"/>
              </w:rPr>
            </w:pPr>
            <w:r w:rsidRPr="000D0F33">
              <w:rPr>
                <w:sz w:val="18"/>
                <w:szCs w:val="18"/>
              </w:rPr>
              <w:t>Specific execution venue arrangements</w:t>
            </w:r>
          </w:p>
        </w:tc>
        <w:tc>
          <w:tcPr>
            <w:tcW w:w="9990" w:type="dxa"/>
            <w:tcBorders>
              <w:right w:val="single" w:sz="12" w:space="0" w:color="auto"/>
            </w:tcBorders>
          </w:tcPr>
          <w:p w14:paraId="44425859" w14:textId="77777777" w:rsidR="003C66DE" w:rsidRPr="000D0F33" w:rsidRDefault="003C66DE" w:rsidP="002579EE">
            <w:pPr>
              <w:rPr>
                <w:sz w:val="18"/>
                <w:szCs w:val="18"/>
              </w:rPr>
            </w:pPr>
            <w:r w:rsidRPr="000D0F33">
              <w:rPr>
                <w:sz w:val="18"/>
                <w:szCs w:val="18"/>
              </w:rPr>
              <w:t xml:space="preserve">J.P. Morgan AG is the sole execution venue. </w:t>
            </w:r>
          </w:p>
        </w:tc>
      </w:tr>
      <w:tr w:rsidR="003C66DE" w:rsidRPr="000D0F33" w14:paraId="43B30009" w14:textId="77777777" w:rsidTr="002579EE">
        <w:trPr>
          <w:trHeight w:val="368"/>
        </w:trPr>
        <w:tc>
          <w:tcPr>
            <w:tcW w:w="4410" w:type="dxa"/>
            <w:tcBorders>
              <w:left w:val="single" w:sz="12" w:space="0" w:color="auto"/>
            </w:tcBorders>
            <w:shd w:val="clear" w:color="auto" w:fill="D9D9D9" w:themeFill="background1" w:themeFillShade="D9"/>
          </w:tcPr>
          <w:p w14:paraId="134CE012" w14:textId="77777777" w:rsidR="003C66DE" w:rsidRPr="000D0F33" w:rsidRDefault="003C66DE" w:rsidP="002579EE">
            <w:pPr>
              <w:rPr>
                <w:sz w:val="18"/>
                <w:szCs w:val="18"/>
              </w:rPr>
            </w:pPr>
            <w:r w:rsidRPr="000D0F33">
              <w:rPr>
                <w:sz w:val="18"/>
                <w:szCs w:val="18"/>
              </w:rPr>
              <w:t>Changes to execution venues</w:t>
            </w:r>
          </w:p>
        </w:tc>
        <w:tc>
          <w:tcPr>
            <w:tcW w:w="9990" w:type="dxa"/>
            <w:tcBorders>
              <w:right w:val="single" w:sz="12" w:space="0" w:color="auto"/>
            </w:tcBorders>
          </w:tcPr>
          <w:p w14:paraId="073CD48E" w14:textId="77777777" w:rsidR="003C66DE" w:rsidRPr="000D0F33" w:rsidRDefault="003C66DE" w:rsidP="002579EE">
            <w:pPr>
              <w:spacing w:after="120"/>
              <w:rPr>
                <w:sz w:val="18"/>
                <w:szCs w:val="18"/>
              </w:rPr>
            </w:pPr>
            <w:r w:rsidRPr="000D0F33">
              <w:rPr>
                <w:sz w:val="18"/>
                <w:szCs w:val="18"/>
              </w:rPr>
              <w:t>Not Applicable</w:t>
            </w:r>
          </w:p>
        </w:tc>
      </w:tr>
      <w:tr w:rsidR="003C66DE" w:rsidRPr="000D0F33" w14:paraId="2500C98D" w14:textId="77777777" w:rsidTr="002579EE">
        <w:tc>
          <w:tcPr>
            <w:tcW w:w="4410" w:type="dxa"/>
            <w:tcBorders>
              <w:left w:val="single" w:sz="12" w:space="0" w:color="auto"/>
            </w:tcBorders>
            <w:shd w:val="clear" w:color="auto" w:fill="D9D9D9" w:themeFill="background1" w:themeFillShade="D9"/>
          </w:tcPr>
          <w:p w14:paraId="451538CE" w14:textId="77777777" w:rsidR="003C66DE" w:rsidRPr="000D0F33" w:rsidRDefault="003C66DE" w:rsidP="002579EE">
            <w:pPr>
              <w:rPr>
                <w:sz w:val="18"/>
                <w:szCs w:val="18"/>
              </w:rPr>
            </w:pPr>
            <w:r w:rsidRPr="000D0F33">
              <w:rPr>
                <w:sz w:val="18"/>
                <w:szCs w:val="18"/>
              </w:rPr>
              <w:t>Client distinctions</w:t>
            </w:r>
          </w:p>
        </w:tc>
        <w:tc>
          <w:tcPr>
            <w:tcW w:w="9990" w:type="dxa"/>
            <w:tcBorders>
              <w:right w:val="single" w:sz="12" w:space="0" w:color="auto"/>
            </w:tcBorders>
          </w:tcPr>
          <w:p w14:paraId="5A310104" w14:textId="77777777" w:rsidR="003C66DE" w:rsidRPr="000D0F33" w:rsidRDefault="003C66DE" w:rsidP="002579EE">
            <w:pPr>
              <w:spacing w:after="120"/>
              <w:rPr>
                <w:sz w:val="18"/>
                <w:szCs w:val="18"/>
              </w:rPr>
            </w:pPr>
            <w:r w:rsidRPr="000D0F33">
              <w:rPr>
                <w:sz w:val="18"/>
                <w:szCs w:val="18"/>
              </w:rPr>
              <w:t xml:space="preserve">J.P. Morgan AG only deals with Professional clients for the purposes of Best Execution.  </w:t>
            </w:r>
          </w:p>
        </w:tc>
      </w:tr>
      <w:tr w:rsidR="003C66DE" w:rsidRPr="000D0F33" w14:paraId="3AE8B2D1" w14:textId="77777777" w:rsidTr="002579EE">
        <w:trPr>
          <w:trHeight w:val="70"/>
        </w:trPr>
        <w:tc>
          <w:tcPr>
            <w:tcW w:w="4410" w:type="dxa"/>
            <w:tcBorders>
              <w:left w:val="single" w:sz="12" w:space="0" w:color="auto"/>
            </w:tcBorders>
            <w:shd w:val="clear" w:color="auto" w:fill="D9D9D9" w:themeFill="background1" w:themeFillShade="D9"/>
          </w:tcPr>
          <w:p w14:paraId="2A40EA8F" w14:textId="77777777" w:rsidR="003C66DE" w:rsidRPr="000D0F33" w:rsidRDefault="003C66DE" w:rsidP="002579EE">
            <w:pPr>
              <w:rPr>
                <w:sz w:val="18"/>
                <w:szCs w:val="18"/>
              </w:rPr>
            </w:pPr>
            <w:r w:rsidRPr="000D0F33">
              <w:rPr>
                <w:sz w:val="18"/>
                <w:szCs w:val="18"/>
              </w:rPr>
              <w:t>Use of data/tools relating to the quality of execution</w:t>
            </w:r>
          </w:p>
        </w:tc>
        <w:tc>
          <w:tcPr>
            <w:tcW w:w="9990" w:type="dxa"/>
            <w:tcBorders>
              <w:right w:val="single" w:sz="12" w:space="0" w:color="auto"/>
            </w:tcBorders>
          </w:tcPr>
          <w:p w14:paraId="17733C9B" w14:textId="77777777" w:rsidR="003C66DE" w:rsidRPr="000D0F33" w:rsidRDefault="003C66DE" w:rsidP="002579EE">
            <w:pPr>
              <w:spacing w:after="120"/>
              <w:rPr>
                <w:sz w:val="18"/>
                <w:szCs w:val="18"/>
              </w:rPr>
            </w:pPr>
            <w:r w:rsidRPr="000D0F33">
              <w:rPr>
                <w:sz w:val="18"/>
                <w:szCs w:val="18"/>
              </w:rPr>
              <w:t>As per Appendix 5 of the</w:t>
            </w:r>
            <w:hyperlink r:id="rId11" w:history="1">
              <w:r w:rsidRPr="00736EF1">
                <w:rPr>
                  <w:rStyle w:val="Hyperlink"/>
                  <w:sz w:val="18"/>
                  <w:szCs w:val="18"/>
                </w:rPr>
                <w:t xml:space="preserve"> J.P. Morgan Execution Policy,</w:t>
              </w:r>
            </w:hyperlink>
            <w:r w:rsidRPr="000D0F33">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3C66DE" w:rsidRPr="000D0F33" w14:paraId="27CFC1AC" w14:textId="77777777" w:rsidTr="002579EE">
        <w:tc>
          <w:tcPr>
            <w:tcW w:w="4410" w:type="dxa"/>
            <w:tcBorders>
              <w:left w:val="single" w:sz="12" w:space="0" w:color="auto"/>
              <w:bottom w:val="single" w:sz="12" w:space="0" w:color="auto"/>
            </w:tcBorders>
            <w:shd w:val="clear" w:color="auto" w:fill="D9D9D9" w:themeFill="background1" w:themeFillShade="D9"/>
          </w:tcPr>
          <w:p w14:paraId="0C20D1B9" w14:textId="77777777" w:rsidR="003C66DE" w:rsidRPr="000D0F33" w:rsidRDefault="003C66DE" w:rsidP="002579EE">
            <w:pPr>
              <w:rPr>
                <w:sz w:val="18"/>
                <w:szCs w:val="18"/>
              </w:rPr>
            </w:pPr>
            <w:r w:rsidRPr="000D0F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621A58DB" w14:textId="77777777" w:rsidR="003C66DE" w:rsidRPr="000D0F33" w:rsidRDefault="003C66DE" w:rsidP="002579EE">
            <w:pPr>
              <w:spacing w:after="120"/>
              <w:rPr>
                <w:sz w:val="18"/>
                <w:szCs w:val="18"/>
              </w:rPr>
            </w:pPr>
            <w:r w:rsidRPr="000D0F33">
              <w:rPr>
                <w:sz w:val="18"/>
                <w:szCs w:val="18"/>
              </w:rPr>
              <w:t>Not Applicable</w:t>
            </w:r>
          </w:p>
        </w:tc>
      </w:tr>
    </w:tbl>
    <w:p w14:paraId="1DB87827" w14:textId="77777777" w:rsidR="003C66DE" w:rsidRPr="000D0F33" w:rsidRDefault="003C66DE" w:rsidP="007A6941">
      <w:pPr>
        <w:rPr>
          <w:color w:val="FF0000"/>
          <w:sz w:val="18"/>
          <w:szCs w:val="18"/>
        </w:rPr>
      </w:pPr>
    </w:p>
    <w:p w14:paraId="63E690B3" w14:textId="75760062" w:rsidR="000303E1" w:rsidRDefault="000303E1">
      <w:pPr>
        <w:rPr>
          <w:color w:val="FF0000"/>
          <w:sz w:val="18"/>
          <w:szCs w:val="18"/>
        </w:rPr>
      </w:pPr>
    </w:p>
    <w:p w14:paraId="4AF9B114" w14:textId="680B214F" w:rsidR="00736EF1" w:rsidRDefault="00736EF1">
      <w:pPr>
        <w:rPr>
          <w:color w:val="FF0000"/>
          <w:sz w:val="18"/>
          <w:szCs w:val="18"/>
        </w:rPr>
      </w:pPr>
    </w:p>
    <w:p w14:paraId="0E09B3C3" w14:textId="2541EE13" w:rsidR="00736EF1" w:rsidRDefault="00736EF1">
      <w:pPr>
        <w:rPr>
          <w:color w:val="FF0000"/>
          <w:sz w:val="18"/>
          <w:szCs w:val="18"/>
        </w:rPr>
      </w:pPr>
    </w:p>
    <w:p w14:paraId="6D570526" w14:textId="3E6D7020" w:rsidR="00736EF1" w:rsidRDefault="00736EF1">
      <w:pPr>
        <w:rPr>
          <w:color w:val="FF0000"/>
          <w:sz w:val="18"/>
          <w:szCs w:val="18"/>
        </w:rPr>
      </w:pPr>
    </w:p>
    <w:p w14:paraId="07735611" w14:textId="6EB986DD" w:rsidR="00736EF1" w:rsidRDefault="00736EF1">
      <w:pPr>
        <w:rPr>
          <w:color w:val="FF0000"/>
          <w:sz w:val="18"/>
          <w:szCs w:val="18"/>
        </w:rPr>
      </w:pPr>
    </w:p>
    <w:p w14:paraId="5E77D16E" w14:textId="35AA609F" w:rsidR="00736EF1" w:rsidRDefault="00736EF1">
      <w:pPr>
        <w:rPr>
          <w:color w:val="FF0000"/>
          <w:sz w:val="18"/>
          <w:szCs w:val="18"/>
        </w:rPr>
      </w:pPr>
    </w:p>
    <w:p w14:paraId="67FE15CC" w14:textId="72F44CBB" w:rsidR="00736EF1" w:rsidRDefault="00736EF1">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3C66DE" w:rsidRPr="00736EF1" w14:paraId="64F4DB10"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C62C32E" w14:textId="77777777" w:rsidR="003C66DE" w:rsidRPr="00736EF1" w:rsidRDefault="003C66DE" w:rsidP="002579EE">
            <w:pPr>
              <w:rPr>
                <w:sz w:val="18"/>
                <w:szCs w:val="18"/>
              </w:rPr>
            </w:pPr>
            <w:r w:rsidRPr="00736EF1">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23E6B685" w14:textId="77777777" w:rsidR="003C66DE" w:rsidRPr="00736EF1" w:rsidRDefault="003C66DE" w:rsidP="002579EE">
            <w:pPr>
              <w:spacing w:after="120"/>
              <w:jc w:val="both"/>
              <w:rPr>
                <w:sz w:val="18"/>
                <w:szCs w:val="18"/>
              </w:rPr>
            </w:pPr>
            <w:r w:rsidRPr="000D0F33">
              <w:rPr>
                <w:sz w:val="18"/>
                <w:szCs w:val="18"/>
              </w:rPr>
              <w:t>J.P. Morgan AG (549300ZK53CNGEEI6A29)</w:t>
            </w:r>
          </w:p>
        </w:tc>
      </w:tr>
      <w:tr w:rsidR="003C66DE" w:rsidRPr="00736EF1" w14:paraId="4D9E9C5F"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084F158" w14:textId="77777777" w:rsidR="003C66DE" w:rsidRPr="00736EF1" w:rsidRDefault="003C66DE" w:rsidP="002579EE">
            <w:pPr>
              <w:rPr>
                <w:sz w:val="18"/>
                <w:szCs w:val="18"/>
              </w:rPr>
            </w:pPr>
            <w:r w:rsidRPr="00736EF1">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72B9277" w14:textId="4D6606E1" w:rsidR="003C66DE" w:rsidRPr="00736EF1" w:rsidRDefault="003C66DE" w:rsidP="002579EE">
            <w:pPr>
              <w:spacing w:after="120"/>
              <w:jc w:val="both"/>
              <w:rPr>
                <w:sz w:val="18"/>
                <w:szCs w:val="18"/>
              </w:rPr>
            </w:pPr>
            <w:r w:rsidRPr="00B11AB1">
              <w:rPr>
                <w:sz w:val="18"/>
                <w:szCs w:val="18"/>
              </w:rPr>
              <w:t xml:space="preserve">Futures and </w:t>
            </w:r>
            <w:r w:rsidR="00C9140D" w:rsidRPr="00B11AB1">
              <w:rPr>
                <w:sz w:val="18"/>
                <w:szCs w:val="18"/>
              </w:rPr>
              <w:t>o</w:t>
            </w:r>
            <w:r w:rsidRPr="00B11AB1">
              <w:rPr>
                <w:sz w:val="18"/>
                <w:szCs w:val="18"/>
              </w:rPr>
              <w:t xml:space="preserve">ptions </w:t>
            </w:r>
            <w:r w:rsidR="00C9140D" w:rsidRPr="00B11AB1">
              <w:rPr>
                <w:sz w:val="18"/>
                <w:szCs w:val="18"/>
              </w:rPr>
              <w:t>a</w:t>
            </w:r>
            <w:r w:rsidRPr="00B11AB1">
              <w:rPr>
                <w:sz w:val="18"/>
                <w:szCs w:val="18"/>
              </w:rPr>
              <w:t xml:space="preserve">dmitted </w:t>
            </w:r>
            <w:r w:rsidR="00C9140D" w:rsidRPr="00B11AB1">
              <w:rPr>
                <w:sz w:val="18"/>
                <w:szCs w:val="18"/>
              </w:rPr>
              <w:t>t</w:t>
            </w:r>
            <w:r w:rsidRPr="00B11AB1">
              <w:rPr>
                <w:sz w:val="18"/>
                <w:szCs w:val="18"/>
              </w:rPr>
              <w:t xml:space="preserve">o </w:t>
            </w:r>
            <w:r w:rsidR="00C9140D" w:rsidRPr="00B11AB1">
              <w:rPr>
                <w:sz w:val="18"/>
                <w:szCs w:val="18"/>
              </w:rPr>
              <w:t>t</w:t>
            </w:r>
            <w:r w:rsidRPr="00B11AB1">
              <w:rPr>
                <w:sz w:val="18"/>
                <w:szCs w:val="18"/>
              </w:rPr>
              <w:t xml:space="preserve">rading </w:t>
            </w:r>
            <w:r w:rsidR="00C9140D" w:rsidRPr="00B11AB1">
              <w:rPr>
                <w:sz w:val="18"/>
                <w:szCs w:val="18"/>
              </w:rPr>
              <w:t>o</w:t>
            </w:r>
            <w:r w:rsidRPr="00B11AB1">
              <w:rPr>
                <w:sz w:val="18"/>
                <w:szCs w:val="18"/>
              </w:rPr>
              <w:t xml:space="preserve">n </w:t>
            </w:r>
            <w:r w:rsidR="00C9140D" w:rsidRPr="00B11AB1">
              <w:rPr>
                <w:sz w:val="18"/>
                <w:szCs w:val="18"/>
              </w:rPr>
              <w:t>a</w:t>
            </w:r>
            <w:r w:rsidRPr="00B11AB1">
              <w:rPr>
                <w:sz w:val="18"/>
                <w:szCs w:val="18"/>
              </w:rPr>
              <w:t xml:space="preserve"> </w:t>
            </w:r>
            <w:r w:rsidR="00C9140D" w:rsidRPr="00B11AB1">
              <w:rPr>
                <w:sz w:val="18"/>
                <w:szCs w:val="18"/>
              </w:rPr>
              <w:t>t</w:t>
            </w:r>
            <w:r w:rsidRPr="00B11AB1">
              <w:rPr>
                <w:sz w:val="18"/>
                <w:szCs w:val="18"/>
              </w:rPr>
              <w:t xml:space="preserve">rading </w:t>
            </w:r>
            <w:r w:rsidR="00C9140D" w:rsidRPr="00B11AB1">
              <w:rPr>
                <w:sz w:val="18"/>
                <w:szCs w:val="18"/>
              </w:rPr>
              <w:t>v</w:t>
            </w:r>
            <w:r w:rsidRPr="00B11AB1">
              <w:rPr>
                <w:sz w:val="18"/>
                <w:szCs w:val="18"/>
              </w:rPr>
              <w:t xml:space="preserve">enue (Interest rates derivatives, </w:t>
            </w:r>
            <w:r w:rsidR="00B11AB1" w:rsidRPr="00B11AB1">
              <w:rPr>
                <w:sz w:val="18"/>
                <w:szCs w:val="18"/>
              </w:rPr>
              <w:t>e</w:t>
            </w:r>
            <w:r w:rsidRPr="00B11AB1">
              <w:rPr>
                <w:sz w:val="18"/>
                <w:szCs w:val="18"/>
              </w:rPr>
              <w:t xml:space="preserve">quity </w:t>
            </w:r>
            <w:r w:rsidR="00C9140D" w:rsidRPr="00B11AB1">
              <w:rPr>
                <w:sz w:val="18"/>
                <w:szCs w:val="18"/>
              </w:rPr>
              <w:t>d</w:t>
            </w:r>
            <w:r w:rsidRPr="00B11AB1">
              <w:rPr>
                <w:sz w:val="18"/>
                <w:szCs w:val="18"/>
              </w:rPr>
              <w:t xml:space="preserve">erivatives, </w:t>
            </w:r>
            <w:r w:rsidR="00B11AB1" w:rsidRPr="00B11AB1">
              <w:rPr>
                <w:sz w:val="18"/>
                <w:szCs w:val="18"/>
              </w:rPr>
              <w:t>c</w:t>
            </w:r>
            <w:r w:rsidRPr="00B11AB1">
              <w:rPr>
                <w:sz w:val="18"/>
                <w:szCs w:val="18"/>
              </w:rPr>
              <w:t xml:space="preserve">ommodities </w:t>
            </w:r>
            <w:r w:rsidR="00C9140D" w:rsidRPr="00B11AB1">
              <w:rPr>
                <w:sz w:val="18"/>
                <w:szCs w:val="18"/>
              </w:rPr>
              <w:t>d</w:t>
            </w:r>
            <w:r w:rsidRPr="00B11AB1">
              <w:rPr>
                <w:sz w:val="18"/>
                <w:szCs w:val="18"/>
              </w:rPr>
              <w:t>erivatives and emission allowances derivatives)</w:t>
            </w:r>
          </w:p>
        </w:tc>
      </w:tr>
      <w:tr w:rsidR="003C66DE" w:rsidRPr="00736EF1" w14:paraId="692BB9E1" w14:textId="77777777" w:rsidTr="002579E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8E1CABE" w14:textId="77777777" w:rsidR="003C66DE" w:rsidRPr="00736EF1" w:rsidRDefault="003C66DE" w:rsidP="002579EE">
            <w:pPr>
              <w:jc w:val="center"/>
              <w:rPr>
                <w:sz w:val="18"/>
                <w:szCs w:val="18"/>
              </w:rPr>
            </w:pPr>
            <w:r w:rsidRPr="00736EF1">
              <w:rPr>
                <w:sz w:val="18"/>
                <w:szCs w:val="18"/>
              </w:rPr>
              <w:t>Summary of Analysis</w:t>
            </w:r>
          </w:p>
        </w:tc>
      </w:tr>
      <w:tr w:rsidR="003C66DE" w:rsidRPr="00736EF1" w14:paraId="54746980" w14:textId="77777777" w:rsidTr="002579EE">
        <w:trPr>
          <w:trHeight w:val="827"/>
        </w:trPr>
        <w:tc>
          <w:tcPr>
            <w:tcW w:w="14400" w:type="dxa"/>
            <w:gridSpan w:val="2"/>
            <w:tcBorders>
              <w:left w:val="single" w:sz="12" w:space="0" w:color="auto"/>
              <w:right w:val="single" w:sz="12" w:space="0" w:color="auto"/>
            </w:tcBorders>
          </w:tcPr>
          <w:p w14:paraId="4D86EB4B" w14:textId="77777777" w:rsidR="003C66DE" w:rsidRPr="00736EF1" w:rsidRDefault="003C66DE" w:rsidP="002579EE">
            <w:pPr>
              <w:spacing w:after="120"/>
              <w:jc w:val="both"/>
              <w:rPr>
                <w:sz w:val="18"/>
                <w:szCs w:val="18"/>
              </w:rPr>
            </w:pPr>
            <w:r w:rsidRPr="00736EF1">
              <w:rPr>
                <w:sz w:val="18"/>
                <w:szCs w:val="18"/>
              </w:rPr>
              <w:t xml:space="preserve">The Futures and Options admitted to trading on a trading venue that have been subject to Best Execution are products described in the Appendix 3 of the </w:t>
            </w:r>
            <w:hyperlink r:id="rId12" w:history="1">
              <w:r w:rsidRPr="00736EF1">
                <w:rPr>
                  <w:color w:val="0000FF" w:themeColor="hyperlink"/>
                  <w:sz w:val="18"/>
                  <w:szCs w:val="18"/>
                  <w:u w:val="single"/>
                </w:rPr>
                <w:t xml:space="preserve"> J.P. Morgan Execution Policy</w:t>
              </w:r>
            </w:hyperlink>
            <w:r w:rsidRPr="00736EF1">
              <w:rPr>
                <w:sz w:val="18"/>
                <w:szCs w:val="18"/>
              </w:rPr>
              <w:t xml:space="preserve">. </w:t>
            </w:r>
          </w:p>
          <w:p w14:paraId="4BFD6E11" w14:textId="76F06B75" w:rsidR="003C66DE" w:rsidRPr="00736EF1" w:rsidRDefault="003C66DE" w:rsidP="002579EE">
            <w:pPr>
              <w:spacing w:after="120"/>
              <w:jc w:val="both"/>
              <w:rPr>
                <w:sz w:val="18"/>
                <w:szCs w:val="18"/>
              </w:rPr>
            </w:pPr>
            <w:r w:rsidRPr="00736EF1">
              <w:rPr>
                <w:sz w:val="18"/>
                <w:szCs w:val="18"/>
              </w:rPr>
              <w:t xml:space="preserve"> J.P. Morgan </w:t>
            </w:r>
            <w:r>
              <w:rPr>
                <w:sz w:val="18"/>
                <w:szCs w:val="18"/>
              </w:rPr>
              <w:t>AG</w:t>
            </w:r>
            <w:r w:rsidRPr="00736EF1">
              <w:rPr>
                <w:sz w:val="18"/>
                <w:szCs w:val="18"/>
              </w:rPr>
              <w:t xml:space="preserve"> monitored Best Execution in Futures and Options admitted to a trading venue on a regular basis, through post trade controls. The results of </w:t>
            </w:r>
            <w:r w:rsidR="00C9140D">
              <w:rPr>
                <w:sz w:val="18"/>
                <w:szCs w:val="18"/>
              </w:rPr>
              <w:t>this</w:t>
            </w:r>
            <w:r w:rsidRPr="00736EF1">
              <w:rPr>
                <w:sz w:val="18"/>
                <w:szCs w:val="18"/>
              </w:rPr>
              <w:t xml:space="preserve"> </w:t>
            </w:r>
            <w:r w:rsidR="00C9140D">
              <w:rPr>
                <w:sz w:val="18"/>
                <w:szCs w:val="18"/>
              </w:rPr>
              <w:t>analysis</w:t>
            </w:r>
            <w:r w:rsidRPr="00736EF1">
              <w:rPr>
                <w:sz w:val="18"/>
                <w:szCs w:val="18"/>
              </w:rPr>
              <w:t xml:space="preserve"> were reviewed by J.P. Morgan management and control functions.  J.P. Morgan </w:t>
            </w:r>
            <w:r>
              <w:rPr>
                <w:sz w:val="18"/>
                <w:szCs w:val="18"/>
              </w:rPr>
              <w:t xml:space="preserve">AG </w:t>
            </w:r>
            <w:r w:rsidRPr="00736EF1">
              <w:rPr>
                <w:sz w:val="18"/>
                <w:szCs w:val="18"/>
              </w:rPr>
              <w:t xml:space="preserve">regularly reviews the post trade controls to ensure that these continue to be relevant and where possible enhanced to ensure Best Execution obligations are met. Best Execution monitoring results were in line with J.P. Morgan </w:t>
            </w:r>
            <w:r>
              <w:rPr>
                <w:sz w:val="18"/>
                <w:szCs w:val="18"/>
              </w:rPr>
              <w:t>AG</w:t>
            </w:r>
            <w:r w:rsidRPr="00736EF1">
              <w:rPr>
                <w:sz w:val="18"/>
                <w:szCs w:val="18"/>
              </w:rPr>
              <w:t xml:space="preserve"> expectations</w:t>
            </w:r>
            <w:r w:rsidRPr="00736EF1">
              <w:rPr>
                <w:b/>
                <w:bCs/>
                <w:sz w:val="18"/>
                <w:szCs w:val="18"/>
              </w:rPr>
              <w:t>.</w:t>
            </w:r>
          </w:p>
        </w:tc>
      </w:tr>
      <w:tr w:rsidR="003C66DE" w:rsidRPr="00736EF1" w14:paraId="3D4A8C2D" w14:textId="77777777" w:rsidTr="002579EE">
        <w:tc>
          <w:tcPr>
            <w:tcW w:w="4410" w:type="dxa"/>
            <w:tcBorders>
              <w:left w:val="single" w:sz="12" w:space="0" w:color="auto"/>
            </w:tcBorders>
            <w:shd w:val="clear" w:color="auto" w:fill="D9D9D9" w:themeFill="background1" w:themeFillShade="D9"/>
          </w:tcPr>
          <w:p w14:paraId="11003FD9" w14:textId="77777777" w:rsidR="003C66DE" w:rsidRPr="00736EF1" w:rsidRDefault="003C66DE" w:rsidP="002579EE">
            <w:pPr>
              <w:rPr>
                <w:sz w:val="18"/>
                <w:szCs w:val="18"/>
              </w:rPr>
            </w:pPr>
            <w:r w:rsidRPr="00736EF1">
              <w:rPr>
                <w:sz w:val="18"/>
                <w:szCs w:val="18"/>
              </w:rPr>
              <w:t>Relative importance given to execution factors &amp; other considerations</w:t>
            </w:r>
          </w:p>
        </w:tc>
        <w:tc>
          <w:tcPr>
            <w:tcW w:w="9990" w:type="dxa"/>
            <w:tcBorders>
              <w:right w:val="single" w:sz="12" w:space="0" w:color="auto"/>
            </w:tcBorders>
          </w:tcPr>
          <w:p w14:paraId="519E3455" w14:textId="01E6C25E" w:rsidR="003C66DE" w:rsidRPr="00736EF1" w:rsidRDefault="003C66DE" w:rsidP="002579EE">
            <w:pPr>
              <w:spacing w:after="120"/>
              <w:jc w:val="both"/>
              <w:rPr>
                <w:iCs/>
                <w:sz w:val="18"/>
                <w:szCs w:val="18"/>
              </w:rPr>
            </w:pPr>
            <w:r w:rsidRPr="00736EF1">
              <w:rPr>
                <w:iCs/>
                <w:sz w:val="18"/>
                <w:szCs w:val="18"/>
                <w:lang w:val="en-US"/>
              </w:rPr>
              <w:t xml:space="preserve">As per </w:t>
            </w:r>
            <w:hyperlink r:id="rId13" w:history="1">
              <w:r w:rsidRPr="00736EF1">
                <w:rPr>
                  <w:iCs/>
                  <w:color w:val="0000FF" w:themeColor="hyperlink"/>
                  <w:sz w:val="18"/>
                  <w:szCs w:val="18"/>
                  <w:u w:val="single"/>
                  <w:lang w:val="en-US"/>
                </w:rPr>
                <w:t>Appendix 3</w:t>
              </w:r>
            </w:hyperlink>
            <w:r w:rsidRPr="00736EF1">
              <w:rPr>
                <w:iCs/>
                <w:sz w:val="18"/>
                <w:szCs w:val="18"/>
                <w:lang w:val="en-US"/>
              </w:rPr>
              <w:t xml:space="preserve"> of the J.P. Morgan Execution Policy</w:t>
            </w:r>
            <w:r w:rsidR="002D0CBC">
              <w:rPr>
                <w:iCs/>
                <w:sz w:val="18"/>
                <w:szCs w:val="18"/>
                <w:lang w:val="en-US"/>
              </w:rPr>
              <w:t>, J.P. Morgan AG</w:t>
            </w:r>
            <w:r w:rsidRPr="00736EF1">
              <w:rPr>
                <w:iCs/>
                <w:sz w:val="18"/>
                <w:szCs w:val="18"/>
                <w:lang w:val="en-US"/>
              </w:rPr>
              <w:t xml:space="preserve"> considers a number of factors when executing client </w:t>
            </w:r>
            <w:r>
              <w:rPr>
                <w:iCs/>
                <w:sz w:val="18"/>
                <w:szCs w:val="18"/>
                <w:lang w:val="en-US"/>
              </w:rPr>
              <w:t>Futures and Options</w:t>
            </w:r>
            <w:r w:rsidRPr="00736EF1">
              <w:rPr>
                <w:iCs/>
                <w:sz w:val="18"/>
                <w:szCs w:val="18"/>
                <w:lang w:val="en-US"/>
              </w:rPr>
              <w:t xml:space="preserve"> orders (</w:t>
            </w:r>
            <w:r w:rsidR="002D0CBC">
              <w:rPr>
                <w:iCs/>
                <w:sz w:val="18"/>
                <w:szCs w:val="18"/>
                <w:lang w:val="en-US"/>
              </w:rPr>
              <w:t xml:space="preserve">e.g. </w:t>
            </w:r>
            <w:r>
              <w:rPr>
                <w:iCs/>
                <w:sz w:val="18"/>
                <w:szCs w:val="18"/>
                <w:lang w:val="en-US"/>
              </w:rPr>
              <w:t>p</w:t>
            </w:r>
            <w:r w:rsidRPr="00736EF1">
              <w:rPr>
                <w:iCs/>
                <w:sz w:val="18"/>
                <w:szCs w:val="18"/>
                <w:lang w:val="en-US"/>
              </w:rPr>
              <w:t xml:space="preserve">rice, </w:t>
            </w:r>
            <w:r>
              <w:rPr>
                <w:iCs/>
                <w:sz w:val="18"/>
                <w:szCs w:val="18"/>
                <w:lang w:val="en-US"/>
              </w:rPr>
              <w:t>s</w:t>
            </w:r>
            <w:r w:rsidRPr="00736EF1">
              <w:rPr>
                <w:iCs/>
                <w:sz w:val="18"/>
                <w:szCs w:val="18"/>
                <w:lang w:val="en-US"/>
              </w:rPr>
              <w:t xml:space="preserve">peed, </w:t>
            </w:r>
            <w:r>
              <w:rPr>
                <w:iCs/>
                <w:sz w:val="18"/>
                <w:szCs w:val="18"/>
                <w:lang w:val="en-US"/>
              </w:rPr>
              <w:t>l</w:t>
            </w:r>
            <w:r w:rsidRPr="00736EF1">
              <w:rPr>
                <w:iCs/>
                <w:sz w:val="18"/>
                <w:szCs w:val="18"/>
                <w:lang w:val="en-US"/>
              </w:rPr>
              <w:t xml:space="preserve">ikelihood of </w:t>
            </w:r>
            <w:r>
              <w:rPr>
                <w:iCs/>
                <w:sz w:val="18"/>
                <w:szCs w:val="18"/>
                <w:lang w:val="en-US"/>
              </w:rPr>
              <w:t>e</w:t>
            </w:r>
            <w:r w:rsidRPr="00736EF1">
              <w:rPr>
                <w:iCs/>
                <w:sz w:val="18"/>
                <w:szCs w:val="18"/>
                <w:lang w:val="en-US"/>
              </w:rPr>
              <w:t xml:space="preserve">xecution, </w:t>
            </w:r>
            <w:r>
              <w:rPr>
                <w:iCs/>
                <w:sz w:val="18"/>
                <w:szCs w:val="18"/>
                <w:lang w:val="en-US"/>
              </w:rPr>
              <w:t>s</w:t>
            </w:r>
            <w:r w:rsidRPr="00736EF1">
              <w:rPr>
                <w:iCs/>
                <w:sz w:val="18"/>
                <w:szCs w:val="18"/>
                <w:lang w:val="en-US"/>
              </w:rPr>
              <w:t xml:space="preserve">ize and </w:t>
            </w:r>
            <w:r>
              <w:rPr>
                <w:iCs/>
                <w:sz w:val="18"/>
                <w:szCs w:val="18"/>
                <w:lang w:val="en-US"/>
              </w:rPr>
              <w:t>c</w:t>
            </w:r>
            <w:r w:rsidRPr="00736EF1">
              <w:rPr>
                <w:iCs/>
                <w:sz w:val="18"/>
                <w:szCs w:val="18"/>
                <w:lang w:val="en-US"/>
              </w:rPr>
              <w:t>osts). Depending on the order type and the instructions that</w:t>
            </w:r>
            <w:r>
              <w:rPr>
                <w:iCs/>
                <w:sz w:val="18"/>
                <w:szCs w:val="18"/>
                <w:lang w:val="en-US"/>
              </w:rPr>
              <w:t xml:space="preserve"> a</w:t>
            </w:r>
            <w:r w:rsidRPr="00736EF1">
              <w:rPr>
                <w:iCs/>
                <w:sz w:val="18"/>
                <w:szCs w:val="18"/>
                <w:lang w:val="en-US"/>
              </w:rPr>
              <w:t xml:space="preserve"> client provides to J.P Morgan, certain factors may be deemed to be more important than others.  The execution strategy employed will </w:t>
            </w:r>
            <w:proofErr w:type="gramStart"/>
            <w:r w:rsidRPr="00736EF1">
              <w:rPr>
                <w:iCs/>
                <w:sz w:val="18"/>
                <w:szCs w:val="18"/>
                <w:lang w:val="en-US"/>
              </w:rPr>
              <w:t>take into account</w:t>
            </w:r>
            <w:proofErr w:type="gramEnd"/>
            <w:r w:rsidRPr="00736EF1">
              <w:rPr>
                <w:iCs/>
                <w:sz w:val="18"/>
                <w:szCs w:val="18"/>
                <w:lang w:val="en-US"/>
              </w:rPr>
              <w:t xml:space="preserve"> all the information provided to us by the client, together with our knowledge of the relevant instrument and the market in which the client is seeking to execute.</w:t>
            </w:r>
          </w:p>
        </w:tc>
      </w:tr>
      <w:tr w:rsidR="003C66DE" w:rsidRPr="00736EF1" w14:paraId="7E9E6096" w14:textId="77777777" w:rsidTr="002579EE">
        <w:tc>
          <w:tcPr>
            <w:tcW w:w="4410" w:type="dxa"/>
            <w:tcBorders>
              <w:left w:val="single" w:sz="12" w:space="0" w:color="auto"/>
            </w:tcBorders>
            <w:shd w:val="clear" w:color="auto" w:fill="D9D9D9" w:themeFill="background1" w:themeFillShade="D9"/>
          </w:tcPr>
          <w:p w14:paraId="6FF07861" w14:textId="77777777" w:rsidR="003C66DE" w:rsidRPr="00736EF1" w:rsidRDefault="003C66DE" w:rsidP="002579EE">
            <w:pPr>
              <w:rPr>
                <w:sz w:val="18"/>
                <w:szCs w:val="18"/>
              </w:rPr>
            </w:pPr>
            <w:r w:rsidRPr="00736EF1">
              <w:rPr>
                <w:sz w:val="18"/>
                <w:szCs w:val="18"/>
              </w:rPr>
              <w:t>Execution venue close links / conflicts of interest / common ownerships</w:t>
            </w:r>
          </w:p>
        </w:tc>
        <w:tc>
          <w:tcPr>
            <w:tcW w:w="9990" w:type="dxa"/>
            <w:tcBorders>
              <w:right w:val="single" w:sz="12" w:space="0" w:color="auto"/>
            </w:tcBorders>
          </w:tcPr>
          <w:p w14:paraId="77471FDD" w14:textId="77777777" w:rsidR="003C66DE" w:rsidRPr="00736EF1" w:rsidRDefault="003C66DE" w:rsidP="002579EE">
            <w:pPr>
              <w:rPr>
                <w:sz w:val="18"/>
                <w:szCs w:val="18"/>
              </w:rPr>
            </w:pPr>
            <w:r w:rsidRPr="00736EF1">
              <w:rPr>
                <w:sz w:val="18"/>
                <w:szCs w:val="18"/>
              </w:rPr>
              <w:t xml:space="preserve">J.P. Morgan </w:t>
            </w:r>
            <w:r>
              <w:rPr>
                <w:sz w:val="18"/>
                <w:szCs w:val="18"/>
              </w:rPr>
              <w:t>AG</w:t>
            </w:r>
            <w:r w:rsidRPr="00736EF1">
              <w:rPr>
                <w:sz w:val="18"/>
                <w:szCs w:val="18"/>
              </w:rPr>
              <w:t xml:space="preserve"> is a fully owned subsidiary of JPMorgan Chase &amp; Co.</w:t>
            </w:r>
          </w:p>
        </w:tc>
      </w:tr>
      <w:tr w:rsidR="003C66DE" w:rsidRPr="00736EF1" w14:paraId="0103D26B" w14:textId="77777777" w:rsidTr="002579EE">
        <w:tc>
          <w:tcPr>
            <w:tcW w:w="4410" w:type="dxa"/>
            <w:tcBorders>
              <w:left w:val="single" w:sz="12" w:space="0" w:color="auto"/>
            </w:tcBorders>
            <w:shd w:val="clear" w:color="auto" w:fill="D9D9D9" w:themeFill="background1" w:themeFillShade="D9"/>
          </w:tcPr>
          <w:p w14:paraId="1CEC4BB6" w14:textId="77777777" w:rsidR="003C66DE" w:rsidRPr="00736EF1" w:rsidRDefault="003C66DE" w:rsidP="002579EE">
            <w:pPr>
              <w:rPr>
                <w:sz w:val="18"/>
                <w:szCs w:val="18"/>
              </w:rPr>
            </w:pPr>
            <w:r w:rsidRPr="00736EF1">
              <w:rPr>
                <w:sz w:val="18"/>
                <w:szCs w:val="18"/>
              </w:rPr>
              <w:t>Specific execution venue arrangements</w:t>
            </w:r>
          </w:p>
        </w:tc>
        <w:tc>
          <w:tcPr>
            <w:tcW w:w="9990" w:type="dxa"/>
            <w:tcBorders>
              <w:right w:val="single" w:sz="12" w:space="0" w:color="auto"/>
            </w:tcBorders>
          </w:tcPr>
          <w:p w14:paraId="30214A47" w14:textId="77777777" w:rsidR="003C66DE" w:rsidRPr="00736EF1" w:rsidRDefault="003C66DE" w:rsidP="002579EE">
            <w:pPr>
              <w:rPr>
                <w:sz w:val="18"/>
                <w:szCs w:val="18"/>
              </w:rPr>
            </w:pPr>
            <w:r w:rsidRPr="00736EF1">
              <w:rPr>
                <w:sz w:val="18"/>
                <w:szCs w:val="18"/>
              </w:rPr>
              <w:t>Regarding payments made or received, discounts, rebates or non-monetary benefits received:</w:t>
            </w:r>
          </w:p>
          <w:p w14:paraId="082B5260" w14:textId="77777777" w:rsidR="003C66DE" w:rsidRPr="00736EF1" w:rsidRDefault="003C66DE" w:rsidP="002579EE">
            <w:pPr>
              <w:rPr>
                <w:sz w:val="18"/>
                <w:szCs w:val="18"/>
              </w:rPr>
            </w:pPr>
            <w:r w:rsidRPr="00736EF1">
              <w:rPr>
                <w:sz w:val="18"/>
                <w:szCs w:val="18"/>
              </w:rPr>
              <w:t xml:space="preserve">J.P. Morgan </w:t>
            </w:r>
            <w:r>
              <w:rPr>
                <w:sz w:val="18"/>
                <w:szCs w:val="18"/>
              </w:rPr>
              <w:t>AG</w:t>
            </w:r>
            <w:r w:rsidRPr="00736EF1">
              <w:rPr>
                <w:sz w:val="18"/>
                <w:szCs w:val="18"/>
              </w:rPr>
              <w:t xml:space="preserve"> does not have any specific arrangements with any trading venues other than standard publicly available terms.  Where J.P. Morgan </w:t>
            </w:r>
            <w:r>
              <w:rPr>
                <w:sz w:val="18"/>
                <w:szCs w:val="18"/>
              </w:rPr>
              <w:t>AG</w:t>
            </w:r>
            <w:r w:rsidRPr="00736EF1">
              <w:rPr>
                <w:sz w:val="18"/>
                <w:szCs w:val="18"/>
              </w:rPr>
              <w:t xml:space="preserve"> contracts with execution venues, it may negotiate specific commercial terms bilaterally with those </w:t>
            </w:r>
            <w:proofErr w:type="gramStart"/>
            <w:r w:rsidRPr="00736EF1">
              <w:rPr>
                <w:sz w:val="18"/>
                <w:szCs w:val="18"/>
              </w:rPr>
              <w:t>venues</w:t>
            </w:r>
            <w:proofErr w:type="gramEnd"/>
            <w:r w:rsidRPr="00736EF1">
              <w:rPr>
                <w:sz w:val="18"/>
                <w:szCs w:val="18"/>
              </w:rPr>
              <w:t xml:space="preserve"> but those terms will not include being compensated directly or in-directly for business given to those venues.</w:t>
            </w:r>
          </w:p>
        </w:tc>
      </w:tr>
      <w:tr w:rsidR="003C66DE" w:rsidRPr="00736EF1" w14:paraId="1F42B326" w14:textId="77777777" w:rsidTr="002579EE">
        <w:trPr>
          <w:trHeight w:val="368"/>
        </w:trPr>
        <w:tc>
          <w:tcPr>
            <w:tcW w:w="4410" w:type="dxa"/>
            <w:tcBorders>
              <w:left w:val="single" w:sz="12" w:space="0" w:color="auto"/>
            </w:tcBorders>
            <w:shd w:val="clear" w:color="auto" w:fill="D9D9D9" w:themeFill="background1" w:themeFillShade="D9"/>
          </w:tcPr>
          <w:p w14:paraId="0AAC066D" w14:textId="77777777" w:rsidR="003C66DE" w:rsidRPr="00736EF1" w:rsidRDefault="003C66DE" w:rsidP="002579EE">
            <w:pPr>
              <w:rPr>
                <w:sz w:val="18"/>
                <w:szCs w:val="18"/>
              </w:rPr>
            </w:pPr>
            <w:r w:rsidRPr="00736EF1">
              <w:rPr>
                <w:sz w:val="18"/>
                <w:szCs w:val="18"/>
              </w:rPr>
              <w:t>Changes to execution venues</w:t>
            </w:r>
          </w:p>
        </w:tc>
        <w:tc>
          <w:tcPr>
            <w:tcW w:w="9990" w:type="dxa"/>
            <w:tcBorders>
              <w:right w:val="single" w:sz="12" w:space="0" w:color="auto"/>
            </w:tcBorders>
          </w:tcPr>
          <w:p w14:paraId="047F35E1" w14:textId="77777777" w:rsidR="003C66DE" w:rsidRPr="00736EF1" w:rsidRDefault="003C66DE" w:rsidP="002579EE">
            <w:pPr>
              <w:spacing w:after="120"/>
              <w:rPr>
                <w:sz w:val="18"/>
                <w:szCs w:val="18"/>
              </w:rPr>
            </w:pPr>
            <w:r w:rsidRPr="00736EF1">
              <w:rPr>
                <w:sz w:val="18"/>
                <w:szCs w:val="18"/>
              </w:rPr>
              <w:t>Not Applicable</w:t>
            </w:r>
          </w:p>
        </w:tc>
      </w:tr>
      <w:tr w:rsidR="003C66DE" w:rsidRPr="00736EF1" w14:paraId="7F6D8B64" w14:textId="77777777" w:rsidTr="002579EE">
        <w:tc>
          <w:tcPr>
            <w:tcW w:w="4410" w:type="dxa"/>
            <w:tcBorders>
              <w:left w:val="single" w:sz="12" w:space="0" w:color="auto"/>
            </w:tcBorders>
            <w:shd w:val="clear" w:color="auto" w:fill="D9D9D9" w:themeFill="background1" w:themeFillShade="D9"/>
          </w:tcPr>
          <w:p w14:paraId="5CDF6FB0" w14:textId="77777777" w:rsidR="003C66DE" w:rsidRPr="00736EF1" w:rsidRDefault="003C66DE" w:rsidP="002579EE">
            <w:pPr>
              <w:rPr>
                <w:sz w:val="18"/>
                <w:szCs w:val="18"/>
              </w:rPr>
            </w:pPr>
            <w:r w:rsidRPr="00736EF1">
              <w:rPr>
                <w:sz w:val="18"/>
                <w:szCs w:val="18"/>
              </w:rPr>
              <w:t>Client distinctions</w:t>
            </w:r>
          </w:p>
        </w:tc>
        <w:tc>
          <w:tcPr>
            <w:tcW w:w="9990" w:type="dxa"/>
            <w:tcBorders>
              <w:right w:val="single" w:sz="12" w:space="0" w:color="auto"/>
            </w:tcBorders>
          </w:tcPr>
          <w:p w14:paraId="02CCA1F3" w14:textId="77777777" w:rsidR="003C66DE" w:rsidRPr="00736EF1" w:rsidRDefault="003C66DE" w:rsidP="002579EE">
            <w:pPr>
              <w:spacing w:after="120"/>
              <w:rPr>
                <w:sz w:val="18"/>
                <w:szCs w:val="18"/>
              </w:rPr>
            </w:pPr>
            <w:r w:rsidRPr="00736EF1">
              <w:rPr>
                <w:sz w:val="18"/>
                <w:szCs w:val="18"/>
              </w:rPr>
              <w:t xml:space="preserve">Our arrangements do not differ by client categorisation. </w:t>
            </w:r>
          </w:p>
        </w:tc>
      </w:tr>
      <w:tr w:rsidR="003C66DE" w:rsidRPr="00736EF1" w14:paraId="6CA14819" w14:textId="77777777" w:rsidTr="002579EE">
        <w:trPr>
          <w:trHeight w:val="70"/>
        </w:trPr>
        <w:tc>
          <w:tcPr>
            <w:tcW w:w="4410" w:type="dxa"/>
            <w:tcBorders>
              <w:left w:val="single" w:sz="12" w:space="0" w:color="auto"/>
            </w:tcBorders>
            <w:shd w:val="clear" w:color="auto" w:fill="D9D9D9" w:themeFill="background1" w:themeFillShade="D9"/>
          </w:tcPr>
          <w:p w14:paraId="28896A4D" w14:textId="77777777" w:rsidR="003C66DE" w:rsidRPr="00736EF1" w:rsidRDefault="003C66DE" w:rsidP="002579EE">
            <w:pPr>
              <w:rPr>
                <w:sz w:val="18"/>
                <w:szCs w:val="18"/>
              </w:rPr>
            </w:pPr>
            <w:r w:rsidRPr="00736EF1">
              <w:rPr>
                <w:sz w:val="18"/>
                <w:szCs w:val="18"/>
              </w:rPr>
              <w:t>Use of data/tools relating to the quality of execution</w:t>
            </w:r>
          </w:p>
        </w:tc>
        <w:tc>
          <w:tcPr>
            <w:tcW w:w="9990" w:type="dxa"/>
            <w:tcBorders>
              <w:right w:val="single" w:sz="12" w:space="0" w:color="auto"/>
            </w:tcBorders>
          </w:tcPr>
          <w:p w14:paraId="3ABFD6D4" w14:textId="77777777" w:rsidR="003C66DE" w:rsidRPr="00736EF1" w:rsidRDefault="003C66DE" w:rsidP="002579EE">
            <w:pPr>
              <w:spacing w:after="120"/>
              <w:rPr>
                <w:sz w:val="18"/>
                <w:szCs w:val="18"/>
              </w:rPr>
            </w:pPr>
            <w:r w:rsidRPr="00736EF1">
              <w:rPr>
                <w:sz w:val="18"/>
                <w:szCs w:val="18"/>
              </w:rPr>
              <w:t>As per Appendix 3 of the</w:t>
            </w:r>
            <w:hyperlink r:id="rId14" w:history="1">
              <w:r w:rsidRPr="00736EF1">
                <w:rPr>
                  <w:color w:val="0000FF" w:themeColor="hyperlink"/>
                  <w:sz w:val="18"/>
                  <w:szCs w:val="18"/>
                  <w:u w:val="single"/>
                </w:rPr>
                <w:t xml:space="preserve"> J.P. Morgan Execution Policy</w:t>
              </w:r>
            </w:hyperlink>
            <w:r w:rsidRPr="00736EF1">
              <w:rPr>
                <w:sz w:val="18"/>
                <w:szCs w:val="18"/>
              </w:rPr>
              <w:t xml:space="preserve"> J.P. Morgan </w:t>
            </w:r>
            <w:r>
              <w:rPr>
                <w:sz w:val="18"/>
                <w:szCs w:val="18"/>
              </w:rPr>
              <w:t>AG</w:t>
            </w:r>
            <w:r w:rsidRPr="00736EF1">
              <w:rPr>
                <w:sz w:val="18"/>
                <w:szCs w:val="18"/>
              </w:rPr>
              <w:t xml:space="preserve">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w:t>
            </w:r>
            <w:r>
              <w:rPr>
                <w:sz w:val="18"/>
                <w:szCs w:val="18"/>
              </w:rPr>
              <w:t xml:space="preserve"> </w:t>
            </w:r>
            <w:r w:rsidRPr="00736EF1">
              <w:rPr>
                <w:sz w:val="18"/>
                <w:szCs w:val="18"/>
              </w:rPr>
              <w:t>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3C66DE" w:rsidRPr="00736EF1" w14:paraId="40D03B96" w14:textId="77777777" w:rsidTr="002579EE">
        <w:tc>
          <w:tcPr>
            <w:tcW w:w="4410" w:type="dxa"/>
            <w:tcBorders>
              <w:left w:val="single" w:sz="12" w:space="0" w:color="auto"/>
              <w:bottom w:val="single" w:sz="12" w:space="0" w:color="auto"/>
            </w:tcBorders>
            <w:shd w:val="clear" w:color="auto" w:fill="D9D9D9" w:themeFill="background1" w:themeFillShade="D9"/>
          </w:tcPr>
          <w:p w14:paraId="0257D30F" w14:textId="77777777" w:rsidR="003C66DE" w:rsidRPr="00736EF1" w:rsidRDefault="003C66DE" w:rsidP="002579EE">
            <w:pPr>
              <w:rPr>
                <w:sz w:val="18"/>
                <w:szCs w:val="18"/>
              </w:rPr>
            </w:pPr>
            <w:r w:rsidRPr="00736EF1">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E48902E" w14:textId="77777777" w:rsidR="003C66DE" w:rsidRPr="00736EF1" w:rsidRDefault="003C66DE" w:rsidP="002579EE">
            <w:pPr>
              <w:spacing w:after="120"/>
              <w:rPr>
                <w:sz w:val="18"/>
                <w:szCs w:val="18"/>
              </w:rPr>
            </w:pPr>
            <w:r w:rsidRPr="00736EF1">
              <w:rPr>
                <w:sz w:val="18"/>
                <w:szCs w:val="18"/>
              </w:rPr>
              <w:t>Not Applicable</w:t>
            </w:r>
          </w:p>
        </w:tc>
      </w:tr>
    </w:tbl>
    <w:p w14:paraId="21308D28" w14:textId="7E63AE82" w:rsidR="00736EF1" w:rsidRDefault="00736EF1">
      <w:pPr>
        <w:rPr>
          <w:color w:val="FF0000"/>
          <w:sz w:val="18"/>
          <w:szCs w:val="18"/>
        </w:rPr>
      </w:pPr>
    </w:p>
    <w:p w14:paraId="512AA00B" w14:textId="6B4AB8B6" w:rsidR="003C66DE" w:rsidRDefault="003C66DE">
      <w:pPr>
        <w:rPr>
          <w:color w:val="FF0000"/>
          <w:sz w:val="18"/>
          <w:szCs w:val="18"/>
        </w:rPr>
      </w:pPr>
    </w:p>
    <w:p w14:paraId="2C9CFB7B" w14:textId="1D685DC0" w:rsidR="003C66DE" w:rsidRDefault="003C66DE">
      <w:pPr>
        <w:rPr>
          <w:color w:val="FF0000"/>
          <w:sz w:val="18"/>
          <w:szCs w:val="18"/>
        </w:rPr>
      </w:pPr>
    </w:p>
    <w:p w14:paraId="47E14DD7" w14:textId="297408B3" w:rsidR="003C66DE" w:rsidRDefault="003C66DE">
      <w:pPr>
        <w:rPr>
          <w:color w:val="FF0000"/>
          <w:sz w:val="18"/>
          <w:szCs w:val="18"/>
        </w:rPr>
      </w:pPr>
    </w:p>
    <w:p w14:paraId="637E7B77" w14:textId="0653662A" w:rsidR="003C66DE" w:rsidRDefault="003C66DE">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3C66DE" w:rsidRPr="001716EA" w14:paraId="1C51D389"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768A12B" w14:textId="77777777" w:rsidR="003C66DE" w:rsidRPr="001716EA" w:rsidRDefault="003C66DE" w:rsidP="003C66DE">
            <w:pPr>
              <w:rPr>
                <w:sz w:val="18"/>
                <w:szCs w:val="18"/>
              </w:rPr>
            </w:pPr>
            <w:r w:rsidRPr="001716EA">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73FBC217" w14:textId="22276B70" w:rsidR="003C66DE" w:rsidRPr="001716EA" w:rsidRDefault="003C66DE" w:rsidP="003C66DE">
            <w:pPr>
              <w:ind w:right="432"/>
              <w:rPr>
                <w:sz w:val="18"/>
                <w:szCs w:val="18"/>
              </w:rPr>
            </w:pPr>
            <w:r w:rsidRPr="000D0F33">
              <w:rPr>
                <w:sz w:val="18"/>
                <w:szCs w:val="18"/>
              </w:rPr>
              <w:t>J.P. Morgan AG (549300ZK53CNGEEI6A29)</w:t>
            </w:r>
          </w:p>
        </w:tc>
      </w:tr>
      <w:tr w:rsidR="003C66DE" w:rsidRPr="001716EA" w14:paraId="33295890"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A2CE6E5" w14:textId="77777777" w:rsidR="003C66DE" w:rsidRPr="001716EA" w:rsidRDefault="003C66DE" w:rsidP="002579EE">
            <w:pPr>
              <w:rPr>
                <w:sz w:val="18"/>
                <w:szCs w:val="18"/>
              </w:rPr>
            </w:pPr>
            <w:r w:rsidRPr="001716EA">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7A2948A" w14:textId="77777777" w:rsidR="003C66DE" w:rsidRPr="001716EA" w:rsidRDefault="003C66DE" w:rsidP="002579EE">
            <w:pPr>
              <w:rPr>
                <w:color w:val="0000FF"/>
                <w:sz w:val="18"/>
                <w:szCs w:val="18"/>
              </w:rPr>
            </w:pPr>
            <w:r w:rsidRPr="001716EA">
              <w:rPr>
                <w:sz w:val="18"/>
                <w:szCs w:val="18"/>
                <w:lang w:val="en-US"/>
              </w:rPr>
              <w:t xml:space="preserve">Other </w:t>
            </w:r>
            <w:r>
              <w:rPr>
                <w:sz w:val="18"/>
                <w:szCs w:val="18"/>
                <w:lang w:val="en-US"/>
              </w:rPr>
              <w:t>i</w:t>
            </w:r>
            <w:r w:rsidRPr="001716EA">
              <w:rPr>
                <w:sz w:val="18"/>
                <w:szCs w:val="18"/>
                <w:lang w:val="en-US"/>
              </w:rPr>
              <w:t xml:space="preserve">nstruments </w:t>
            </w:r>
          </w:p>
        </w:tc>
      </w:tr>
      <w:tr w:rsidR="003C66DE" w:rsidRPr="001716EA" w14:paraId="685765E1" w14:textId="77777777" w:rsidTr="002579E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4374B7A" w14:textId="77777777" w:rsidR="003C66DE" w:rsidRPr="001716EA" w:rsidRDefault="003C66DE" w:rsidP="002579EE">
            <w:pPr>
              <w:jc w:val="center"/>
              <w:rPr>
                <w:sz w:val="18"/>
                <w:szCs w:val="18"/>
              </w:rPr>
            </w:pPr>
            <w:r w:rsidRPr="001716EA">
              <w:rPr>
                <w:sz w:val="18"/>
                <w:szCs w:val="18"/>
              </w:rPr>
              <w:t>Summary of Analysis</w:t>
            </w:r>
          </w:p>
        </w:tc>
      </w:tr>
      <w:tr w:rsidR="003C66DE" w:rsidRPr="001716EA" w14:paraId="33162A2E" w14:textId="77777777" w:rsidTr="002579EE">
        <w:tc>
          <w:tcPr>
            <w:tcW w:w="14400" w:type="dxa"/>
            <w:gridSpan w:val="2"/>
            <w:tcBorders>
              <w:left w:val="single" w:sz="12" w:space="0" w:color="auto"/>
              <w:right w:val="single" w:sz="12" w:space="0" w:color="auto"/>
            </w:tcBorders>
          </w:tcPr>
          <w:p w14:paraId="7BEC4B6A" w14:textId="47E223F8" w:rsidR="003C66DE" w:rsidRPr="001716EA" w:rsidRDefault="003C66DE" w:rsidP="002579EE">
            <w:pPr>
              <w:rPr>
                <w:sz w:val="18"/>
                <w:szCs w:val="18"/>
              </w:rPr>
            </w:pPr>
            <w:r w:rsidRPr="00625958">
              <w:rPr>
                <w:sz w:val="18"/>
                <w:szCs w:val="18"/>
              </w:rPr>
              <w:t>Within our fund order routing services product offering, currently an execution will arise on client instructions to subscribe for, or redeem, units i</w:t>
            </w:r>
            <w:r>
              <w:rPr>
                <w:sz w:val="18"/>
                <w:szCs w:val="18"/>
              </w:rPr>
              <w:t>n certain funds. In the year 2020</w:t>
            </w:r>
            <w:r w:rsidRPr="00625958">
              <w:rPr>
                <w:sz w:val="18"/>
                <w:szCs w:val="18"/>
              </w:rPr>
              <w:t>, our review found the obligation of Best Execution was met in each case.  The application was monitored by J.P. Morgan</w:t>
            </w:r>
            <w:r>
              <w:rPr>
                <w:sz w:val="18"/>
                <w:szCs w:val="18"/>
              </w:rPr>
              <w:t xml:space="preserve"> AG</w:t>
            </w:r>
            <w:r w:rsidRPr="00625958">
              <w:rPr>
                <w:sz w:val="18"/>
                <w:szCs w:val="18"/>
              </w:rPr>
              <w:t xml:space="preserve"> on a regular basis, through post-trade controls performed by the business which were monitored at the relevant Securities Services Control forum. This monitoring identified execution situations which are potentially subject to Best Execution </w:t>
            </w:r>
            <w:proofErr w:type="gramStart"/>
            <w:r w:rsidRPr="00625958">
              <w:rPr>
                <w:sz w:val="18"/>
                <w:szCs w:val="18"/>
              </w:rPr>
              <w:t>and also</w:t>
            </w:r>
            <w:proofErr w:type="gramEnd"/>
            <w:r w:rsidRPr="00625958">
              <w:rPr>
                <w:sz w:val="18"/>
                <w:szCs w:val="18"/>
              </w:rPr>
              <w:t xml:space="preserve"> monitored the correct application of the decision</w:t>
            </w:r>
            <w:r>
              <w:rPr>
                <w:sz w:val="18"/>
                <w:szCs w:val="18"/>
              </w:rPr>
              <w:t>-</w:t>
            </w:r>
            <w:r w:rsidRPr="00625958">
              <w:rPr>
                <w:sz w:val="18"/>
                <w:szCs w:val="18"/>
              </w:rPr>
              <w:t xml:space="preserve">making process. </w:t>
            </w:r>
          </w:p>
        </w:tc>
      </w:tr>
      <w:tr w:rsidR="003C66DE" w:rsidRPr="001716EA" w14:paraId="65A37B37" w14:textId="77777777" w:rsidTr="002579EE">
        <w:tc>
          <w:tcPr>
            <w:tcW w:w="4410" w:type="dxa"/>
            <w:tcBorders>
              <w:left w:val="single" w:sz="12" w:space="0" w:color="auto"/>
            </w:tcBorders>
            <w:shd w:val="clear" w:color="auto" w:fill="D9D9D9" w:themeFill="background1" w:themeFillShade="D9"/>
          </w:tcPr>
          <w:p w14:paraId="745CE62C" w14:textId="77777777" w:rsidR="003C66DE" w:rsidRPr="001716EA" w:rsidRDefault="003C66DE" w:rsidP="002579EE">
            <w:pPr>
              <w:rPr>
                <w:sz w:val="18"/>
                <w:szCs w:val="18"/>
              </w:rPr>
            </w:pPr>
            <w:r w:rsidRPr="001716EA">
              <w:rPr>
                <w:sz w:val="18"/>
                <w:szCs w:val="18"/>
              </w:rPr>
              <w:t>Relative importance given to execution factors &amp; other considerations</w:t>
            </w:r>
          </w:p>
        </w:tc>
        <w:tc>
          <w:tcPr>
            <w:tcW w:w="9990" w:type="dxa"/>
            <w:tcBorders>
              <w:right w:val="single" w:sz="12" w:space="0" w:color="auto"/>
            </w:tcBorders>
          </w:tcPr>
          <w:p w14:paraId="2AF7206B" w14:textId="77777777" w:rsidR="003C66DE" w:rsidRPr="001716EA" w:rsidRDefault="003C66DE" w:rsidP="002579EE">
            <w:pPr>
              <w:spacing w:after="120"/>
              <w:jc w:val="both"/>
              <w:rPr>
                <w:sz w:val="18"/>
                <w:szCs w:val="18"/>
              </w:rPr>
            </w:pPr>
            <w:r w:rsidRPr="00132A75">
              <w:rPr>
                <w:color w:val="000000" w:themeColor="text1"/>
                <w:sz w:val="18"/>
                <w:szCs w:val="18"/>
              </w:rPr>
              <w:t xml:space="preserve">Please refer to </w:t>
            </w:r>
            <w:hyperlink r:id="rId15" w:history="1">
              <w:r w:rsidRPr="00625958">
                <w:rPr>
                  <w:rStyle w:val="Hyperlink"/>
                  <w:sz w:val="18"/>
                  <w:szCs w:val="18"/>
                </w:rPr>
                <w:t>J.P. Morgan EMEA Securities Services: Execution Policy</w:t>
              </w:r>
            </w:hyperlink>
            <w:r w:rsidRPr="00625958">
              <w:rPr>
                <w:sz w:val="18"/>
                <w:szCs w:val="18"/>
              </w:rPr>
              <w:t>.</w:t>
            </w:r>
            <w:r w:rsidRPr="00132A75">
              <w:rPr>
                <w:rStyle w:val="Hyperlink"/>
                <w:color w:val="000000" w:themeColor="text1"/>
                <w:sz w:val="18"/>
                <w:szCs w:val="18"/>
              </w:rPr>
              <w:t>.</w:t>
            </w:r>
            <w:r w:rsidRPr="00132A75">
              <w:rPr>
                <w:color w:val="000000" w:themeColor="text1"/>
                <w:sz w:val="18"/>
                <w:szCs w:val="18"/>
              </w:rPr>
              <w:t xml:space="preserve"> In this policy, page 7 details the considerations for the key execution factors and </w:t>
            </w:r>
            <w:r w:rsidRPr="00F84247">
              <w:rPr>
                <w:color w:val="000000" w:themeColor="text1"/>
                <w:sz w:val="18"/>
                <w:szCs w:val="18"/>
              </w:rPr>
              <w:t>page 11</w:t>
            </w:r>
            <w:r w:rsidRPr="00132A75">
              <w:rPr>
                <w:color w:val="000000" w:themeColor="text1"/>
                <w:sz w:val="18"/>
                <w:szCs w:val="18"/>
              </w:rPr>
              <w:t xml:space="preserve"> details the factors affecting </w:t>
            </w:r>
            <w:r>
              <w:rPr>
                <w:color w:val="000000" w:themeColor="text1"/>
                <w:sz w:val="18"/>
                <w:szCs w:val="18"/>
              </w:rPr>
              <w:t>the</w:t>
            </w:r>
            <w:r w:rsidRPr="00132A75">
              <w:rPr>
                <w:color w:val="000000" w:themeColor="text1"/>
                <w:sz w:val="18"/>
                <w:szCs w:val="18"/>
              </w:rPr>
              <w:t xml:space="preserve"> business’s choice of execution venues.</w:t>
            </w:r>
          </w:p>
        </w:tc>
      </w:tr>
      <w:tr w:rsidR="003C66DE" w:rsidRPr="001716EA" w14:paraId="0AAFA4E2" w14:textId="77777777" w:rsidTr="002579EE">
        <w:trPr>
          <w:trHeight w:val="485"/>
        </w:trPr>
        <w:tc>
          <w:tcPr>
            <w:tcW w:w="4410" w:type="dxa"/>
            <w:tcBorders>
              <w:left w:val="single" w:sz="12" w:space="0" w:color="auto"/>
            </w:tcBorders>
            <w:shd w:val="clear" w:color="auto" w:fill="D9D9D9" w:themeFill="background1" w:themeFillShade="D9"/>
          </w:tcPr>
          <w:p w14:paraId="4BBADEB9" w14:textId="77777777" w:rsidR="003C66DE" w:rsidRPr="001716EA" w:rsidRDefault="003C66DE" w:rsidP="002579EE">
            <w:pPr>
              <w:rPr>
                <w:sz w:val="18"/>
                <w:szCs w:val="18"/>
              </w:rPr>
            </w:pPr>
            <w:r w:rsidRPr="001716EA">
              <w:rPr>
                <w:sz w:val="18"/>
                <w:szCs w:val="18"/>
              </w:rPr>
              <w:t>Execution venue close links / conflicts of interest / common ownerships</w:t>
            </w:r>
          </w:p>
        </w:tc>
        <w:tc>
          <w:tcPr>
            <w:tcW w:w="9990" w:type="dxa"/>
            <w:tcBorders>
              <w:right w:val="single" w:sz="12" w:space="0" w:color="auto"/>
            </w:tcBorders>
          </w:tcPr>
          <w:p w14:paraId="5AFF2EB4" w14:textId="77777777" w:rsidR="003C66DE" w:rsidRPr="00BD1898" w:rsidRDefault="003C66DE" w:rsidP="002579EE">
            <w:pPr>
              <w:rPr>
                <w:color w:val="000000" w:themeColor="text1"/>
                <w:sz w:val="18"/>
                <w:szCs w:val="18"/>
              </w:rPr>
            </w:pPr>
            <w:r w:rsidRPr="00625958">
              <w:rPr>
                <w:color w:val="000000" w:themeColor="text1"/>
                <w:sz w:val="18"/>
                <w:szCs w:val="18"/>
              </w:rPr>
              <w:t>Please note that some of the investment vehicles we make available may include investment funds of our affiliates.</w:t>
            </w:r>
          </w:p>
        </w:tc>
      </w:tr>
      <w:tr w:rsidR="003C66DE" w:rsidRPr="001716EA" w14:paraId="4F719C93" w14:textId="77777777" w:rsidTr="002579EE">
        <w:tc>
          <w:tcPr>
            <w:tcW w:w="4410" w:type="dxa"/>
            <w:tcBorders>
              <w:left w:val="single" w:sz="12" w:space="0" w:color="auto"/>
            </w:tcBorders>
            <w:shd w:val="clear" w:color="auto" w:fill="D9D9D9" w:themeFill="background1" w:themeFillShade="D9"/>
          </w:tcPr>
          <w:p w14:paraId="0F551E63" w14:textId="77777777" w:rsidR="003C66DE" w:rsidRPr="001716EA" w:rsidRDefault="003C66DE" w:rsidP="002579EE">
            <w:pPr>
              <w:rPr>
                <w:sz w:val="18"/>
                <w:szCs w:val="18"/>
              </w:rPr>
            </w:pPr>
            <w:r w:rsidRPr="001716EA">
              <w:rPr>
                <w:sz w:val="18"/>
                <w:szCs w:val="18"/>
              </w:rPr>
              <w:t>Specific execution venue arrangements</w:t>
            </w:r>
          </w:p>
        </w:tc>
        <w:tc>
          <w:tcPr>
            <w:tcW w:w="9990" w:type="dxa"/>
            <w:tcBorders>
              <w:right w:val="single" w:sz="12" w:space="0" w:color="auto"/>
            </w:tcBorders>
          </w:tcPr>
          <w:p w14:paraId="4F7B7CDA" w14:textId="77777777" w:rsidR="003C66DE" w:rsidRPr="001716EA" w:rsidRDefault="003C66DE" w:rsidP="002579EE">
            <w:pPr>
              <w:rPr>
                <w:i/>
                <w:sz w:val="18"/>
                <w:szCs w:val="18"/>
              </w:rPr>
            </w:pPr>
            <w:r w:rsidRPr="001716EA">
              <w:rPr>
                <w:sz w:val="18"/>
                <w:szCs w:val="18"/>
              </w:rPr>
              <w:t xml:space="preserve">Not Applicable </w:t>
            </w:r>
          </w:p>
        </w:tc>
      </w:tr>
      <w:tr w:rsidR="003C66DE" w:rsidRPr="001716EA" w14:paraId="0F075801" w14:textId="77777777" w:rsidTr="002579EE">
        <w:trPr>
          <w:trHeight w:val="368"/>
        </w:trPr>
        <w:tc>
          <w:tcPr>
            <w:tcW w:w="4410" w:type="dxa"/>
            <w:tcBorders>
              <w:left w:val="single" w:sz="12" w:space="0" w:color="auto"/>
            </w:tcBorders>
            <w:shd w:val="clear" w:color="auto" w:fill="D9D9D9" w:themeFill="background1" w:themeFillShade="D9"/>
          </w:tcPr>
          <w:p w14:paraId="54908406" w14:textId="77777777" w:rsidR="003C66DE" w:rsidRPr="001716EA" w:rsidRDefault="003C66DE" w:rsidP="002579EE">
            <w:pPr>
              <w:rPr>
                <w:sz w:val="18"/>
                <w:szCs w:val="18"/>
              </w:rPr>
            </w:pPr>
            <w:r w:rsidRPr="001716EA">
              <w:rPr>
                <w:sz w:val="18"/>
                <w:szCs w:val="18"/>
              </w:rPr>
              <w:t>Changes to execution venues</w:t>
            </w:r>
          </w:p>
        </w:tc>
        <w:tc>
          <w:tcPr>
            <w:tcW w:w="9990" w:type="dxa"/>
            <w:tcBorders>
              <w:right w:val="single" w:sz="12" w:space="0" w:color="auto"/>
            </w:tcBorders>
          </w:tcPr>
          <w:p w14:paraId="4725C51A" w14:textId="77777777" w:rsidR="003C66DE" w:rsidRPr="001716EA" w:rsidRDefault="003C66DE" w:rsidP="002579EE">
            <w:pPr>
              <w:spacing w:after="120"/>
              <w:rPr>
                <w:i/>
                <w:sz w:val="18"/>
                <w:szCs w:val="18"/>
              </w:rPr>
            </w:pPr>
            <w:r w:rsidRPr="001716EA">
              <w:rPr>
                <w:sz w:val="18"/>
                <w:szCs w:val="18"/>
              </w:rPr>
              <w:t>Not Applicable</w:t>
            </w:r>
          </w:p>
        </w:tc>
      </w:tr>
      <w:tr w:rsidR="003C66DE" w:rsidRPr="001716EA" w14:paraId="43EA19E9" w14:textId="77777777" w:rsidTr="002579EE">
        <w:tc>
          <w:tcPr>
            <w:tcW w:w="4410" w:type="dxa"/>
            <w:tcBorders>
              <w:left w:val="single" w:sz="12" w:space="0" w:color="auto"/>
            </w:tcBorders>
            <w:shd w:val="clear" w:color="auto" w:fill="D9D9D9" w:themeFill="background1" w:themeFillShade="D9"/>
          </w:tcPr>
          <w:p w14:paraId="27C7E4DF" w14:textId="77777777" w:rsidR="003C66DE" w:rsidRPr="001716EA" w:rsidRDefault="003C66DE" w:rsidP="002579EE">
            <w:pPr>
              <w:rPr>
                <w:sz w:val="18"/>
                <w:szCs w:val="18"/>
              </w:rPr>
            </w:pPr>
            <w:r w:rsidRPr="001716EA">
              <w:rPr>
                <w:sz w:val="18"/>
                <w:szCs w:val="18"/>
              </w:rPr>
              <w:t>Client distinctions</w:t>
            </w:r>
          </w:p>
        </w:tc>
        <w:tc>
          <w:tcPr>
            <w:tcW w:w="9990" w:type="dxa"/>
            <w:tcBorders>
              <w:right w:val="single" w:sz="12" w:space="0" w:color="auto"/>
            </w:tcBorders>
          </w:tcPr>
          <w:p w14:paraId="3AA415EE" w14:textId="25781E05" w:rsidR="003C66DE" w:rsidRPr="001716EA" w:rsidRDefault="003C66DE" w:rsidP="002579EE">
            <w:pPr>
              <w:spacing w:after="120"/>
              <w:rPr>
                <w:i/>
                <w:sz w:val="18"/>
                <w:szCs w:val="18"/>
              </w:rPr>
            </w:pPr>
            <w:r w:rsidRPr="001716EA">
              <w:rPr>
                <w:sz w:val="18"/>
                <w:szCs w:val="18"/>
              </w:rPr>
              <w:t xml:space="preserve">J.P. Morgan </w:t>
            </w:r>
            <w:r>
              <w:rPr>
                <w:sz w:val="18"/>
                <w:szCs w:val="18"/>
              </w:rPr>
              <w:t>AG only deals with Professional clients for purposes of Best Execution.</w:t>
            </w:r>
          </w:p>
        </w:tc>
      </w:tr>
      <w:tr w:rsidR="003C66DE" w:rsidRPr="001716EA" w14:paraId="7C0B7F48" w14:textId="77777777" w:rsidTr="002579EE">
        <w:tc>
          <w:tcPr>
            <w:tcW w:w="4410" w:type="dxa"/>
            <w:tcBorders>
              <w:left w:val="single" w:sz="12" w:space="0" w:color="auto"/>
            </w:tcBorders>
            <w:shd w:val="clear" w:color="auto" w:fill="D9D9D9" w:themeFill="background1" w:themeFillShade="D9"/>
          </w:tcPr>
          <w:p w14:paraId="06F0E04E" w14:textId="77777777" w:rsidR="003C66DE" w:rsidRPr="001716EA" w:rsidRDefault="003C66DE" w:rsidP="002579EE">
            <w:pPr>
              <w:rPr>
                <w:sz w:val="18"/>
                <w:szCs w:val="18"/>
              </w:rPr>
            </w:pPr>
            <w:r w:rsidRPr="001716EA">
              <w:rPr>
                <w:sz w:val="18"/>
                <w:szCs w:val="18"/>
              </w:rPr>
              <w:t>Use of data/tools relating to the quality of execution</w:t>
            </w:r>
          </w:p>
        </w:tc>
        <w:tc>
          <w:tcPr>
            <w:tcW w:w="9990" w:type="dxa"/>
            <w:tcBorders>
              <w:right w:val="single" w:sz="12" w:space="0" w:color="auto"/>
            </w:tcBorders>
          </w:tcPr>
          <w:p w14:paraId="61D9CFF3" w14:textId="181BB9DD" w:rsidR="003C66DE" w:rsidRPr="001716EA" w:rsidRDefault="003C66DE" w:rsidP="002579EE">
            <w:pPr>
              <w:spacing w:after="120"/>
              <w:rPr>
                <w:sz w:val="18"/>
                <w:szCs w:val="18"/>
              </w:rPr>
            </w:pPr>
            <w:r w:rsidRPr="001716EA">
              <w:rPr>
                <w:sz w:val="18"/>
                <w:szCs w:val="18"/>
              </w:rPr>
              <w:t xml:space="preserve">The quality of the execution is monitored through J.P. Morgan </w:t>
            </w:r>
            <w:r>
              <w:rPr>
                <w:sz w:val="18"/>
                <w:szCs w:val="18"/>
              </w:rPr>
              <w:t>AG’s</w:t>
            </w:r>
            <w:r w:rsidRPr="001716EA">
              <w:rPr>
                <w:sz w:val="18"/>
                <w:szCs w:val="18"/>
              </w:rPr>
              <w:t xml:space="preserve"> automated systems which manage and reconcile executions of orders against execution factors relevant to a particular line of business as </w:t>
            </w:r>
            <w:r w:rsidRPr="00132A75">
              <w:rPr>
                <w:color w:val="000000" w:themeColor="text1"/>
                <w:sz w:val="18"/>
                <w:szCs w:val="18"/>
              </w:rPr>
              <w:t xml:space="preserve">further outlined in </w:t>
            </w:r>
            <w:hyperlink r:id="rId16" w:history="1">
              <w:r w:rsidRPr="00625958">
                <w:rPr>
                  <w:rStyle w:val="Hyperlink"/>
                  <w:sz w:val="18"/>
                  <w:szCs w:val="18"/>
                </w:rPr>
                <w:t>J.P. Morgan EMEA Securities Services: Execution Policy</w:t>
              </w:r>
            </w:hyperlink>
            <w:r w:rsidRPr="00132A75">
              <w:rPr>
                <w:color w:val="000000" w:themeColor="text1"/>
                <w:sz w:val="18"/>
                <w:szCs w:val="18"/>
              </w:rPr>
              <w:t xml:space="preserve">. Any exceptions or errors identified are managed by a dedicated team within a reasonable time. On a periodic basis, Best Execution metrics are compiled and consolidated for a </w:t>
            </w:r>
            <w:proofErr w:type="gramStart"/>
            <w:r w:rsidRPr="00132A75">
              <w:rPr>
                <w:color w:val="000000" w:themeColor="text1"/>
                <w:sz w:val="18"/>
                <w:szCs w:val="18"/>
              </w:rPr>
              <w:t>particular line</w:t>
            </w:r>
            <w:proofErr w:type="gramEnd"/>
            <w:r w:rsidRPr="00132A75">
              <w:rPr>
                <w:color w:val="000000" w:themeColor="text1"/>
                <w:sz w:val="18"/>
                <w:szCs w:val="18"/>
              </w:rPr>
              <w:t xml:space="preserve"> of business for review at the relevant business control forum.</w:t>
            </w:r>
          </w:p>
        </w:tc>
      </w:tr>
      <w:tr w:rsidR="003C66DE" w:rsidRPr="001716EA" w14:paraId="34B10529" w14:textId="77777777" w:rsidTr="002579EE">
        <w:tc>
          <w:tcPr>
            <w:tcW w:w="4410" w:type="dxa"/>
            <w:tcBorders>
              <w:left w:val="single" w:sz="12" w:space="0" w:color="auto"/>
              <w:bottom w:val="single" w:sz="12" w:space="0" w:color="auto"/>
            </w:tcBorders>
            <w:shd w:val="clear" w:color="auto" w:fill="D9D9D9" w:themeFill="background1" w:themeFillShade="D9"/>
          </w:tcPr>
          <w:p w14:paraId="601EDD79" w14:textId="77777777" w:rsidR="003C66DE" w:rsidRPr="001716EA" w:rsidRDefault="003C66DE" w:rsidP="002579EE">
            <w:pPr>
              <w:rPr>
                <w:sz w:val="18"/>
                <w:szCs w:val="18"/>
              </w:rPr>
            </w:pPr>
            <w:r w:rsidRPr="001716EA">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B234F97" w14:textId="77777777" w:rsidR="003C66DE" w:rsidRPr="001716EA" w:rsidRDefault="003C66DE" w:rsidP="002579EE">
            <w:pPr>
              <w:spacing w:after="120"/>
              <w:rPr>
                <w:i/>
                <w:sz w:val="18"/>
                <w:szCs w:val="18"/>
              </w:rPr>
            </w:pPr>
            <w:r w:rsidRPr="001716EA">
              <w:rPr>
                <w:sz w:val="18"/>
                <w:szCs w:val="18"/>
              </w:rPr>
              <w:t xml:space="preserve">Not Applicable </w:t>
            </w:r>
          </w:p>
        </w:tc>
      </w:tr>
    </w:tbl>
    <w:p w14:paraId="48831C3E" w14:textId="508BBF22" w:rsidR="003C66DE" w:rsidRDefault="003C66DE">
      <w:pPr>
        <w:rPr>
          <w:color w:val="FF0000"/>
          <w:sz w:val="18"/>
          <w:szCs w:val="18"/>
        </w:rPr>
      </w:pPr>
    </w:p>
    <w:p w14:paraId="1C3061C8" w14:textId="44D51F62" w:rsidR="00D67F84" w:rsidRDefault="00D67F84">
      <w:pPr>
        <w:rPr>
          <w:color w:val="FF0000"/>
          <w:sz w:val="18"/>
          <w:szCs w:val="18"/>
        </w:rPr>
      </w:pPr>
    </w:p>
    <w:p w14:paraId="3F21D0CA" w14:textId="0F53A0B0" w:rsidR="00D67F84" w:rsidRDefault="00D67F84">
      <w:pPr>
        <w:rPr>
          <w:color w:val="FF0000"/>
          <w:sz w:val="18"/>
          <w:szCs w:val="18"/>
        </w:rPr>
      </w:pPr>
    </w:p>
    <w:p w14:paraId="16484879" w14:textId="6E10F6D6" w:rsidR="00D67F84" w:rsidRDefault="00D67F84">
      <w:pPr>
        <w:rPr>
          <w:color w:val="FF0000"/>
          <w:sz w:val="18"/>
          <w:szCs w:val="18"/>
        </w:rPr>
      </w:pPr>
    </w:p>
    <w:p w14:paraId="1BDA6861" w14:textId="24E315CD" w:rsidR="00D67F84" w:rsidRDefault="00D67F84">
      <w:pPr>
        <w:rPr>
          <w:color w:val="FF0000"/>
          <w:sz w:val="18"/>
          <w:szCs w:val="18"/>
        </w:rPr>
      </w:pPr>
    </w:p>
    <w:p w14:paraId="36C814AB" w14:textId="34CDAAA1" w:rsidR="00D67F84" w:rsidRDefault="00D67F84">
      <w:pPr>
        <w:rPr>
          <w:color w:val="FF0000"/>
          <w:sz w:val="18"/>
          <w:szCs w:val="18"/>
        </w:rPr>
      </w:pPr>
    </w:p>
    <w:p w14:paraId="5117B968" w14:textId="1630993C" w:rsidR="00D67F84" w:rsidRDefault="00D67F84">
      <w:pPr>
        <w:rPr>
          <w:color w:val="FF0000"/>
          <w:sz w:val="18"/>
          <w:szCs w:val="18"/>
        </w:rPr>
      </w:pPr>
    </w:p>
    <w:p w14:paraId="61734D17" w14:textId="1F615156" w:rsidR="00D67F84" w:rsidRDefault="00D67F84">
      <w:pPr>
        <w:rPr>
          <w:color w:val="FF0000"/>
          <w:sz w:val="18"/>
          <w:szCs w:val="18"/>
        </w:rPr>
      </w:pPr>
    </w:p>
    <w:p w14:paraId="737A0BE2" w14:textId="2C26CD6C" w:rsidR="00D67F84" w:rsidRDefault="00D67F84">
      <w:pPr>
        <w:rPr>
          <w:color w:val="FF0000"/>
          <w:sz w:val="18"/>
          <w:szCs w:val="18"/>
        </w:rPr>
      </w:pPr>
    </w:p>
    <w:p w14:paraId="67A3667F" w14:textId="02A0142C" w:rsidR="00D67F84" w:rsidRDefault="00D67F84">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D67F84" w:rsidRPr="000D0F33" w14:paraId="2CFBAF70"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cPr>
          <w:p w14:paraId="12D1A46D" w14:textId="77777777" w:rsidR="00D67F84" w:rsidRPr="000D0F33" w:rsidRDefault="00D67F84" w:rsidP="002579EE">
            <w:pPr>
              <w:rPr>
                <w:rFonts w:eastAsia="Calibri" w:cs="Times New Roman"/>
                <w:sz w:val="18"/>
                <w:szCs w:val="18"/>
              </w:rPr>
            </w:pPr>
            <w:r w:rsidRPr="000D0F33">
              <w:rPr>
                <w:rFonts w:eastAsia="Calibri" w:cs="Times New Roman"/>
                <w:sz w:val="18"/>
                <w:szCs w:val="18"/>
              </w:rPr>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0F9D9F79" w14:textId="77777777" w:rsidR="00D67F84" w:rsidRPr="00D67F84" w:rsidRDefault="00D67F84" w:rsidP="002579EE">
            <w:pPr>
              <w:rPr>
                <w:sz w:val="18"/>
                <w:szCs w:val="18"/>
              </w:rPr>
            </w:pPr>
            <w:r w:rsidRPr="00D67F84">
              <w:rPr>
                <w:sz w:val="18"/>
                <w:szCs w:val="18"/>
              </w:rPr>
              <w:t>J.P. Morgan AG (549300ZK53CNGEEI6A29)</w:t>
            </w:r>
          </w:p>
        </w:tc>
      </w:tr>
      <w:tr w:rsidR="00D67F84" w:rsidRPr="000D0F33" w14:paraId="634DD40B" w14:textId="77777777" w:rsidTr="002579EE">
        <w:tc>
          <w:tcPr>
            <w:tcW w:w="4410" w:type="dxa"/>
            <w:tcBorders>
              <w:top w:val="single" w:sz="12" w:space="0" w:color="auto"/>
              <w:left w:val="single" w:sz="12" w:space="0" w:color="auto"/>
              <w:bottom w:val="single" w:sz="12" w:space="0" w:color="auto"/>
              <w:right w:val="single" w:sz="4" w:space="0" w:color="auto"/>
            </w:tcBorders>
            <w:shd w:val="clear" w:color="auto" w:fill="D9D9D9"/>
          </w:tcPr>
          <w:p w14:paraId="4E86244B" w14:textId="77777777" w:rsidR="00D67F84" w:rsidRPr="000D0F33" w:rsidRDefault="00D67F84" w:rsidP="002579EE">
            <w:pPr>
              <w:rPr>
                <w:rFonts w:eastAsia="Calibri" w:cs="Times New Roman"/>
                <w:sz w:val="18"/>
                <w:szCs w:val="18"/>
              </w:rPr>
            </w:pPr>
            <w:r w:rsidRPr="000D0F33">
              <w:rPr>
                <w:rFonts w:eastAsia="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2B2B77" w14:textId="77777777" w:rsidR="00D67F84" w:rsidRPr="000D0F33" w:rsidRDefault="00D67F84" w:rsidP="002579EE">
            <w:pPr>
              <w:rPr>
                <w:rFonts w:eastAsia="Calibri" w:cs="Times New Roman"/>
                <w:sz w:val="18"/>
                <w:szCs w:val="18"/>
              </w:rPr>
            </w:pPr>
            <w:r w:rsidRPr="000D0F33">
              <w:rPr>
                <w:rFonts w:eastAsia="Calibri" w:cs="Times New Roman"/>
                <w:sz w:val="18"/>
                <w:szCs w:val="18"/>
              </w:rPr>
              <w:t xml:space="preserve">Equities – Shares &amp; Depositary Receipts </w:t>
            </w:r>
          </w:p>
          <w:p w14:paraId="122F1C05" w14:textId="77777777" w:rsidR="00D67F84" w:rsidRPr="000D0F33" w:rsidRDefault="00D67F84" w:rsidP="002579EE">
            <w:pPr>
              <w:rPr>
                <w:rFonts w:eastAsia="Calibri" w:cs="Times New Roman"/>
                <w:sz w:val="18"/>
                <w:szCs w:val="18"/>
              </w:rPr>
            </w:pPr>
            <w:r w:rsidRPr="000D0F33">
              <w:rPr>
                <w:rFonts w:eastAsia="Calibri" w:cs="Times New Roman"/>
                <w:sz w:val="18"/>
                <w:szCs w:val="18"/>
              </w:rPr>
              <w:t xml:space="preserve">Exchange traded products (Exchange traded funds, exchange traded notes and exchange traded commodities) </w:t>
            </w:r>
          </w:p>
          <w:p w14:paraId="3452B09A" w14:textId="5D4AB519" w:rsidR="00D67F84" w:rsidRPr="000D0F33" w:rsidRDefault="00D67F84" w:rsidP="002579EE">
            <w:pPr>
              <w:rPr>
                <w:rFonts w:eastAsia="Calibri" w:cs="Times New Roman"/>
                <w:color w:val="0000FF"/>
                <w:sz w:val="18"/>
                <w:szCs w:val="18"/>
              </w:rPr>
            </w:pPr>
            <w:r w:rsidRPr="000D0F33">
              <w:rPr>
                <w:rFonts w:eastAsia="Calibri" w:cs="Times New Roman"/>
                <w:sz w:val="18"/>
                <w:szCs w:val="18"/>
              </w:rPr>
              <w:t xml:space="preserve">Other instruments </w:t>
            </w:r>
            <w:r w:rsidR="00D34303">
              <w:rPr>
                <w:rFonts w:eastAsia="Calibri" w:cs="Times New Roman"/>
                <w:sz w:val="18"/>
                <w:szCs w:val="18"/>
              </w:rPr>
              <w:t>(as traded by the CIB Cash Equities line of business)</w:t>
            </w:r>
            <w:bookmarkStart w:id="0" w:name="_GoBack"/>
            <w:bookmarkEnd w:id="0"/>
          </w:p>
        </w:tc>
      </w:tr>
      <w:tr w:rsidR="00D67F84" w:rsidRPr="000D0F33" w14:paraId="30EA4EE8" w14:textId="77777777" w:rsidTr="002579EE">
        <w:tc>
          <w:tcPr>
            <w:tcW w:w="14400" w:type="dxa"/>
            <w:gridSpan w:val="2"/>
            <w:tcBorders>
              <w:top w:val="single" w:sz="12" w:space="0" w:color="auto"/>
              <w:left w:val="single" w:sz="12" w:space="0" w:color="auto"/>
              <w:right w:val="single" w:sz="12" w:space="0" w:color="auto"/>
            </w:tcBorders>
            <w:shd w:val="clear" w:color="auto" w:fill="D9D9D9"/>
          </w:tcPr>
          <w:p w14:paraId="3BCC8A81" w14:textId="77777777" w:rsidR="00D67F84" w:rsidRPr="000D0F33" w:rsidRDefault="00D67F84" w:rsidP="002579EE">
            <w:pPr>
              <w:jc w:val="center"/>
              <w:rPr>
                <w:rFonts w:eastAsia="Calibri" w:cs="Times New Roman"/>
                <w:sz w:val="18"/>
                <w:szCs w:val="18"/>
              </w:rPr>
            </w:pPr>
            <w:r w:rsidRPr="000D0F33">
              <w:rPr>
                <w:rFonts w:eastAsia="Calibri" w:cs="Times New Roman"/>
                <w:sz w:val="18"/>
                <w:szCs w:val="18"/>
              </w:rPr>
              <w:t>Summary of Analysis</w:t>
            </w:r>
          </w:p>
        </w:tc>
      </w:tr>
      <w:tr w:rsidR="00D67F84" w:rsidRPr="000D0F33" w14:paraId="2CC6AB52" w14:textId="77777777" w:rsidTr="002579EE">
        <w:tc>
          <w:tcPr>
            <w:tcW w:w="14400" w:type="dxa"/>
            <w:gridSpan w:val="2"/>
            <w:tcBorders>
              <w:left w:val="single" w:sz="12" w:space="0" w:color="auto"/>
              <w:right w:val="single" w:sz="12" w:space="0" w:color="auto"/>
            </w:tcBorders>
          </w:tcPr>
          <w:p w14:paraId="27E1DE2B" w14:textId="77777777" w:rsidR="00D67F84" w:rsidRPr="000D0F33" w:rsidRDefault="00D67F84" w:rsidP="002579EE">
            <w:pPr>
              <w:spacing w:after="200" w:line="276" w:lineRule="auto"/>
              <w:rPr>
                <w:sz w:val="18"/>
                <w:szCs w:val="18"/>
                <w:u w:val="single"/>
              </w:rPr>
            </w:pPr>
            <w:r w:rsidRPr="000D0F33">
              <w:rPr>
                <w:sz w:val="18"/>
                <w:szCs w:val="18"/>
                <w:u w:val="single"/>
              </w:rPr>
              <w:t>Execution Venue Performance:</w:t>
            </w:r>
          </w:p>
          <w:p w14:paraId="1F14E0D4" w14:textId="77777777" w:rsidR="00D67F84" w:rsidRDefault="00D67F84" w:rsidP="002579EE">
            <w:pPr>
              <w:spacing w:after="200" w:line="276" w:lineRule="auto"/>
              <w:ind w:left="360"/>
              <w:rPr>
                <w:sz w:val="18"/>
                <w:szCs w:val="18"/>
              </w:rPr>
            </w:pPr>
            <w:r>
              <w:rPr>
                <w:sz w:val="18"/>
                <w:szCs w:val="18"/>
              </w:rPr>
              <w:t xml:space="preserve">In 2020, J.P. Morgan AG primarily accessed execution venues for securities which maintained their primary listing on an EEA-domiciled exchange.  In 2020 </w:t>
            </w:r>
            <w:r w:rsidRPr="00F44F5D">
              <w:rPr>
                <w:sz w:val="18"/>
                <w:szCs w:val="18"/>
              </w:rPr>
              <w:t xml:space="preserve">J.P. Morgan AG </w:t>
            </w:r>
            <w:r>
              <w:rPr>
                <w:sz w:val="18"/>
                <w:szCs w:val="18"/>
              </w:rPr>
              <w:t>also connected</w:t>
            </w:r>
            <w:r w:rsidRPr="00F44F5D">
              <w:rPr>
                <w:sz w:val="18"/>
                <w:szCs w:val="18"/>
              </w:rPr>
              <w:t xml:space="preserve"> to </w:t>
            </w:r>
            <w:proofErr w:type="gramStart"/>
            <w:r>
              <w:rPr>
                <w:sz w:val="18"/>
                <w:szCs w:val="18"/>
              </w:rPr>
              <w:t>a number of</w:t>
            </w:r>
            <w:proofErr w:type="gramEnd"/>
            <w:r>
              <w:rPr>
                <w:sz w:val="18"/>
                <w:szCs w:val="18"/>
              </w:rPr>
              <w:t xml:space="preserve"> </w:t>
            </w:r>
            <w:r w:rsidRPr="00F44F5D">
              <w:rPr>
                <w:sz w:val="18"/>
                <w:szCs w:val="18"/>
              </w:rPr>
              <w:t>execution venues</w:t>
            </w:r>
            <w:r>
              <w:rPr>
                <w:sz w:val="18"/>
                <w:szCs w:val="18"/>
              </w:rPr>
              <w:t>,</w:t>
            </w:r>
            <w:r w:rsidRPr="00F44F5D">
              <w:rPr>
                <w:sz w:val="18"/>
                <w:szCs w:val="18"/>
              </w:rPr>
              <w:t xml:space="preserve"> domiciled in the EEA</w:t>
            </w:r>
            <w:r>
              <w:rPr>
                <w:sz w:val="18"/>
                <w:szCs w:val="18"/>
              </w:rPr>
              <w:t>,</w:t>
            </w:r>
            <w:r w:rsidRPr="00F44F5D">
              <w:rPr>
                <w:sz w:val="18"/>
                <w:szCs w:val="18"/>
              </w:rPr>
              <w:t xml:space="preserve"> to </w:t>
            </w:r>
            <w:r>
              <w:rPr>
                <w:sz w:val="18"/>
                <w:szCs w:val="18"/>
              </w:rPr>
              <w:t xml:space="preserve">provide continuity to </w:t>
            </w:r>
            <w:r w:rsidRPr="00F44F5D">
              <w:rPr>
                <w:sz w:val="18"/>
                <w:szCs w:val="18"/>
              </w:rPr>
              <w:t xml:space="preserve">clients </w:t>
            </w:r>
            <w:r>
              <w:rPr>
                <w:sz w:val="18"/>
                <w:szCs w:val="18"/>
              </w:rPr>
              <w:t>trading in these securities after the Brexit transition period</w:t>
            </w:r>
            <w:r w:rsidRPr="00F44F5D">
              <w:rPr>
                <w:sz w:val="18"/>
                <w:szCs w:val="18"/>
              </w:rPr>
              <w:t xml:space="preserve"> </w:t>
            </w:r>
            <w:r>
              <w:rPr>
                <w:sz w:val="18"/>
                <w:szCs w:val="18"/>
              </w:rPr>
              <w:t>ended</w:t>
            </w:r>
            <w:r w:rsidRPr="00F44F5D">
              <w:rPr>
                <w:sz w:val="18"/>
                <w:szCs w:val="18"/>
              </w:rPr>
              <w:t>.</w:t>
            </w:r>
            <w:r>
              <w:rPr>
                <w:sz w:val="18"/>
                <w:szCs w:val="18"/>
              </w:rPr>
              <w:t xml:space="preserve">  </w:t>
            </w:r>
            <w:r w:rsidRPr="00A4094E">
              <w:rPr>
                <w:sz w:val="18"/>
                <w:szCs w:val="18"/>
              </w:rPr>
              <w:t xml:space="preserve">The individual venues </w:t>
            </w:r>
            <w:r>
              <w:rPr>
                <w:sz w:val="18"/>
                <w:szCs w:val="18"/>
              </w:rPr>
              <w:t xml:space="preserve">added </w:t>
            </w:r>
            <w:r w:rsidRPr="00A4094E">
              <w:rPr>
                <w:sz w:val="18"/>
                <w:szCs w:val="18"/>
              </w:rPr>
              <w:t>are summarised on the following pages.</w:t>
            </w:r>
          </w:p>
          <w:p w14:paraId="7F01EA3F" w14:textId="68924627" w:rsidR="00D67F84" w:rsidRPr="000D0F33" w:rsidRDefault="00D67F84" w:rsidP="002579EE">
            <w:pPr>
              <w:spacing w:after="200" w:line="276" w:lineRule="auto"/>
              <w:ind w:left="360"/>
              <w:rPr>
                <w:sz w:val="18"/>
                <w:szCs w:val="18"/>
              </w:rPr>
            </w:pPr>
            <w:r w:rsidRPr="000D0F33">
              <w:rPr>
                <w:sz w:val="18"/>
                <w:szCs w:val="18"/>
              </w:rPr>
              <w:t xml:space="preserve">J.P. Morgan AG monitored a number of performance factors in relation to the venues listed within Appendix 1 of the </w:t>
            </w:r>
            <w:hyperlink r:id="rId17" w:history="1">
              <w:r w:rsidRPr="000D0F33">
                <w:rPr>
                  <w:rStyle w:val="Hyperlink"/>
                  <w:sz w:val="18"/>
                  <w:szCs w:val="18"/>
                </w:rPr>
                <w:t>J.P. Morgan Execution Policy,</w:t>
              </w:r>
            </w:hyperlink>
            <w:r w:rsidRPr="000D0F33">
              <w:rPr>
                <w:rStyle w:val="Hyperlink"/>
                <w:sz w:val="18"/>
                <w:szCs w:val="18"/>
              </w:rPr>
              <w:t xml:space="preserve"> </w:t>
            </w:r>
            <w:r w:rsidRPr="000D0F33">
              <w:rPr>
                <w:sz w:val="18"/>
                <w:szCs w:val="18"/>
              </w:rPr>
              <w:t>The factors reviewed together with the key observations made are as follows:</w:t>
            </w:r>
          </w:p>
          <w:p w14:paraId="07846CCC" w14:textId="77777777" w:rsidR="00D67F84" w:rsidRPr="000D0F33" w:rsidRDefault="00D67F84" w:rsidP="002579EE">
            <w:pPr>
              <w:spacing w:after="200" w:line="276" w:lineRule="auto"/>
              <w:ind w:left="360"/>
              <w:rPr>
                <w:b/>
                <w:sz w:val="18"/>
                <w:szCs w:val="18"/>
              </w:rPr>
            </w:pPr>
            <w:r w:rsidRPr="000D0F33">
              <w:rPr>
                <w:b/>
                <w:sz w:val="18"/>
                <w:szCs w:val="18"/>
              </w:rPr>
              <w:t xml:space="preserve">Access to Liquidity </w:t>
            </w:r>
          </w:p>
          <w:p w14:paraId="7E4E95F6" w14:textId="77777777" w:rsidR="00D67F84" w:rsidRPr="000D0F33" w:rsidRDefault="00D67F84" w:rsidP="002579EE">
            <w:pPr>
              <w:spacing w:after="200" w:line="276" w:lineRule="auto"/>
              <w:ind w:left="720"/>
              <w:rPr>
                <w:sz w:val="18"/>
                <w:szCs w:val="18"/>
              </w:rPr>
            </w:pPr>
            <w:r w:rsidRPr="000D0F33">
              <w:rPr>
                <w:sz w:val="18"/>
                <w:szCs w:val="18"/>
                <w:u w:val="single"/>
              </w:rPr>
              <w:t>Conventional Displayed Trading Venues:</w:t>
            </w:r>
            <w:r w:rsidRPr="000D0F33">
              <w:rPr>
                <w:sz w:val="18"/>
                <w:szCs w:val="18"/>
              </w:rPr>
              <w:t xml:space="preserve"> In line with our execution policy, we maintained access to the primary market for securities in which we act as the executing broker.  Additionally, we maintained access to the following significant pan-European multilateral trading facilities (MTFs):  CBOE, Turquoise, and </w:t>
            </w:r>
            <w:proofErr w:type="spellStart"/>
            <w:r w:rsidRPr="000D0F33">
              <w:rPr>
                <w:sz w:val="18"/>
                <w:szCs w:val="18"/>
              </w:rPr>
              <w:t>Aquis</w:t>
            </w:r>
            <w:proofErr w:type="spellEnd"/>
            <w:r w:rsidRPr="000D0F33">
              <w:rPr>
                <w:sz w:val="18"/>
                <w:szCs w:val="18"/>
              </w:rPr>
              <w:t>.  In combination, these venues provide access to over 9</w:t>
            </w:r>
            <w:r>
              <w:rPr>
                <w:sz w:val="18"/>
                <w:szCs w:val="18"/>
              </w:rPr>
              <w:t>5</w:t>
            </w:r>
            <w:r w:rsidRPr="000D0F33">
              <w:rPr>
                <w:sz w:val="18"/>
                <w:szCs w:val="18"/>
              </w:rPr>
              <w:t>% of displayed liquidity in the relevant markets.</w:t>
            </w:r>
          </w:p>
          <w:p w14:paraId="27DC05FD" w14:textId="77777777" w:rsidR="00D67F84" w:rsidRPr="000D0F33" w:rsidRDefault="00D67F84" w:rsidP="002579EE">
            <w:pPr>
              <w:spacing w:after="200" w:line="276" w:lineRule="auto"/>
              <w:ind w:left="720"/>
              <w:rPr>
                <w:sz w:val="18"/>
                <w:szCs w:val="18"/>
              </w:rPr>
            </w:pPr>
            <w:proofErr w:type="gramStart"/>
            <w:r w:rsidRPr="000D0F33">
              <w:rPr>
                <w:sz w:val="18"/>
                <w:szCs w:val="18"/>
                <w:u w:val="single"/>
              </w:rPr>
              <w:t>Non Displayed</w:t>
            </w:r>
            <w:proofErr w:type="gramEnd"/>
            <w:r w:rsidRPr="000D0F33">
              <w:rPr>
                <w:sz w:val="18"/>
                <w:szCs w:val="18"/>
                <w:u w:val="single"/>
              </w:rPr>
              <w:t>, Periodic Auction and other Execution Venues:</w:t>
            </w:r>
            <w:r w:rsidRPr="000D0F33">
              <w:rPr>
                <w:sz w:val="18"/>
                <w:szCs w:val="18"/>
              </w:rPr>
              <w:t xml:space="preserve">  In </w:t>
            </w:r>
            <w:r>
              <w:rPr>
                <w:sz w:val="18"/>
                <w:szCs w:val="18"/>
              </w:rPr>
              <w:t>2020</w:t>
            </w:r>
            <w:r w:rsidRPr="000D0F33">
              <w:rPr>
                <w:sz w:val="18"/>
                <w:szCs w:val="18"/>
              </w:rPr>
              <w:t xml:space="preserve">, we added a number of additional venues to </w:t>
            </w:r>
            <w:r>
              <w:rPr>
                <w:sz w:val="18"/>
                <w:szCs w:val="18"/>
              </w:rPr>
              <w:t xml:space="preserve">enhance our liquidity access.  </w:t>
            </w:r>
            <w:r w:rsidRPr="00A4094E">
              <w:rPr>
                <w:sz w:val="18"/>
                <w:szCs w:val="18"/>
              </w:rPr>
              <w:t>The individual venues</w:t>
            </w:r>
            <w:r>
              <w:rPr>
                <w:sz w:val="18"/>
                <w:szCs w:val="18"/>
              </w:rPr>
              <w:t xml:space="preserve"> added</w:t>
            </w:r>
            <w:r w:rsidRPr="00A4094E">
              <w:rPr>
                <w:sz w:val="18"/>
                <w:szCs w:val="18"/>
              </w:rPr>
              <w:t xml:space="preserve"> are summarised on the following pages.</w:t>
            </w:r>
          </w:p>
          <w:p w14:paraId="3EDE8C0F" w14:textId="77777777" w:rsidR="00D67F84" w:rsidRPr="000D0F33" w:rsidRDefault="00D67F84" w:rsidP="002579EE">
            <w:pPr>
              <w:spacing w:after="200" w:line="276" w:lineRule="auto"/>
              <w:ind w:left="360"/>
              <w:rPr>
                <w:b/>
                <w:sz w:val="18"/>
                <w:szCs w:val="18"/>
              </w:rPr>
            </w:pPr>
            <w:r w:rsidRPr="000D0F33">
              <w:rPr>
                <w:b/>
                <w:sz w:val="18"/>
                <w:szCs w:val="18"/>
              </w:rPr>
              <w:t>Pricing Analysis and Performance</w:t>
            </w:r>
          </w:p>
          <w:p w14:paraId="7AAFEA6C" w14:textId="77777777" w:rsidR="00D67F84" w:rsidRPr="000D0F33" w:rsidRDefault="00D67F84" w:rsidP="002579EE">
            <w:pPr>
              <w:spacing w:after="200" w:line="276" w:lineRule="auto"/>
              <w:ind w:left="720"/>
              <w:rPr>
                <w:b/>
                <w:sz w:val="18"/>
                <w:szCs w:val="18"/>
              </w:rPr>
            </w:pPr>
            <w:r w:rsidRPr="000D0F33">
              <w:rPr>
                <w:sz w:val="18"/>
                <w:szCs w:val="18"/>
                <w:u w:val="single"/>
              </w:rPr>
              <w:t>Conventional Displayed Trading Venues:</w:t>
            </w:r>
            <w:r w:rsidRPr="000D0F33">
              <w:rPr>
                <w:sz w:val="18"/>
                <w:szCs w:val="18"/>
              </w:rPr>
              <w:t xml:space="preserve"> </w:t>
            </w:r>
            <w:r w:rsidRPr="000D0F33">
              <w:rPr>
                <w:b/>
                <w:sz w:val="18"/>
                <w:szCs w:val="18"/>
              </w:rPr>
              <w:t xml:space="preserve">  </w:t>
            </w:r>
          </w:p>
          <w:p w14:paraId="49C11C4E" w14:textId="77777777" w:rsidR="00D67F84" w:rsidRPr="000D0F33" w:rsidRDefault="00D67F84" w:rsidP="002579EE">
            <w:pPr>
              <w:spacing w:after="200" w:line="276" w:lineRule="auto"/>
              <w:ind w:left="720"/>
              <w:rPr>
                <w:sz w:val="18"/>
                <w:szCs w:val="18"/>
              </w:rPr>
            </w:pPr>
            <w:r w:rsidRPr="000D0F33">
              <w:rPr>
                <w:sz w:val="18"/>
                <w:szCs w:val="18"/>
              </w:rPr>
              <w:t xml:space="preserve">We maintain measures of </w:t>
            </w:r>
            <w:r w:rsidRPr="000D0F33">
              <w:rPr>
                <w:i/>
                <w:sz w:val="18"/>
                <w:szCs w:val="18"/>
              </w:rPr>
              <w:t>price improvement</w:t>
            </w:r>
            <w:r w:rsidRPr="000D0F33">
              <w:rPr>
                <w:sz w:val="18"/>
                <w:szCs w:val="18"/>
              </w:rPr>
              <w:t xml:space="preserve"> that indicate the extent to which a trade performed on a given venue provides a better price than that available on the primary market at the time of trading.  These metrics indicated that material price improvement was obtained as a result of transactions performed on CBOE, Turquoise and </w:t>
            </w:r>
            <w:proofErr w:type="spellStart"/>
            <w:r w:rsidRPr="000D0F33">
              <w:rPr>
                <w:sz w:val="18"/>
                <w:szCs w:val="18"/>
              </w:rPr>
              <w:t>Aquis</w:t>
            </w:r>
            <w:proofErr w:type="spellEnd"/>
            <w:r w:rsidRPr="000D0F33">
              <w:rPr>
                <w:sz w:val="18"/>
                <w:szCs w:val="18"/>
              </w:rPr>
              <w:t xml:space="preserve">.   The metrics observed over </w:t>
            </w:r>
            <w:r>
              <w:rPr>
                <w:sz w:val="18"/>
                <w:szCs w:val="18"/>
              </w:rPr>
              <w:t>2020</w:t>
            </w:r>
            <w:r w:rsidRPr="000D0F33">
              <w:rPr>
                <w:sz w:val="18"/>
                <w:szCs w:val="18"/>
              </w:rPr>
              <w:t xml:space="preserve"> indicate both that the venues themselves provide price improvement opportunities and that our routing practices are successfully identifying those opportunities.  Average price improvement observed across CBOE, Turquoise and </w:t>
            </w:r>
            <w:proofErr w:type="spellStart"/>
            <w:r w:rsidRPr="000D0F33">
              <w:rPr>
                <w:sz w:val="18"/>
                <w:szCs w:val="18"/>
              </w:rPr>
              <w:t>Aquis</w:t>
            </w:r>
            <w:proofErr w:type="spellEnd"/>
            <w:r w:rsidRPr="000D0F33">
              <w:rPr>
                <w:sz w:val="18"/>
                <w:szCs w:val="18"/>
              </w:rPr>
              <w:t xml:space="preserve"> venues ranged from </w:t>
            </w:r>
            <w:r>
              <w:rPr>
                <w:b/>
                <w:sz w:val="18"/>
                <w:szCs w:val="18"/>
              </w:rPr>
              <w:t>1.06</w:t>
            </w:r>
            <w:r w:rsidRPr="000D0F33">
              <w:rPr>
                <w:sz w:val="18"/>
                <w:szCs w:val="18"/>
              </w:rPr>
              <w:t xml:space="preserve"> – </w:t>
            </w:r>
            <w:r>
              <w:rPr>
                <w:b/>
                <w:sz w:val="18"/>
                <w:szCs w:val="18"/>
              </w:rPr>
              <w:t>1.71</w:t>
            </w:r>
            <w:r w:rsidRPr="000D0F33">
              <w:rPr>
                <w:sz w:val="18"/>
                <w:szCs w:val="18"/>
              </w:rPr>
              <w:t xml:space="preserve"> basis points</w:t>
            </w:r>
            <w:r>
              <w:rPr>
                <w:sz w:val="18"/>
                <w:szCs w:val="18"/>
              </w:rPr>
              <w:t xml:space="preserve"> (bps)</w:t>
            </w:r>
            <w:r w:rsidRPr="000D0F33">
              <w:rPr>
                <w:sz w:val="18"/>
                <w:szCs w:val="18"/>
              </w:rPr>
              <w:t>.</w:t>
            </w:r>
          </w:p>
          <w:p w14:paraId="1067CBE8" w14:textId="77777777" w:rsidR="00D67F84" w:rsidRPr="000D0F33" w:rsidRDefault="00D67F84" w:rsidP="002579EE">
            <w:pPr>
              <w:spacing w:after="200" w:line="276" w:lineRule="auto"/>
              <w:ind w:left="720"/>
              <w:rPr>
                <w:b/>
                <w:sz w:val="18"/>
                <w:szCs w:val="18"/>
              </w:rPr>
            </w:pPr>
            <w:r w:rsidRPr="000D0F33">
              <w:rPr>
                <w:sz w:val="18"/>
                <w:szCs w:val="18"/>
                <w:u w:val="single"/>
              </w:rPr>
              <w:t xml:space="preserve">Systematic Internalisers: </w:t>
            </w:r>
            <w:r w:rsidRPr="000D0F33">
              <w:rPr>
                <w:b/>
                <w:sz w:val="18"/>
                <w:szCs w:val="18"/>
              </w:rPr>
              <w:t xml:space="preserve"> </w:t>
            </w:r>
          </w:p>
          <w:p w14:paraId="79064883" w14:textId="77777777" w:rsidR="00D67F84" w:rsidRPr="000D0F33" w:rsidRDefault="00D67F84" w:rsidP="002579EE">
            <w:pPr>
              <w:spacing w:after="200" w:line="276" w:lineRule="auto"/>
              <w:ind w:left="720"/>
              <w:rPr>
                <w:sz w:val="18"/>
                <w:szCs w:val="18"/>
              </w:rPr>
            </w:pPr>
            <w:r w:rsidRPr="009E3C9E">
              <w:rPr>
                <w:sz w:val="18"/>
                <w:szCs w:val="18"/>
              </w:rPr>
              <w:t>Electronic Liquidity Providers (ELPs):</w:t>
            </w:r>
            <w:r w:rsidRPr="000D0F33">
              <w:rPr>
                <w:sz w:val="18"/>
                <w:szCs w:val="18"/>
              </w:rPr>
              <w:t xml:space="preserve">  In </w:t>
            </w:r>
            <w:r>
              <w:rPr>
                <w:sz w:val="18"/>
                <w:szCs w:val="18"/>
              </w:rPr>
              <w:t>2020</w:t>
            </w:r>
            <w:r w:rsidRPr="000D0F33">
              <w:rPr>
                <w:sz w:val="18"/>
                <w:szCs w:val="18"/>
              </w:rPr>
              <w:t xml:space="preserve">, we observed price improvement (measured as a percentage of the spread) of </w:t>
            </w:r>
            <w:r>
              <w:rPr>
                <w:b/>
                <w:sz w:val="18"/>
                <w:szCs w:val="18"/>
              </w:rPr>
              <w:t>8.43</w:t>
            </w:r>
            <w:r w:rsidRPr="009E3C9E">
              <w:rPr>
                <w:b/>
                <w:sz w:val="18"/>
                <w:szCs w:val="18"/>
              </w:rPr>
              <w:t>%</w:t>
            </w:r>
            <w:r w:rsidRPr="000D0F33">
              <w:rPr>
                <w:sz w:val="18"/>
                <w:szCs w:val="18"/>
              </w:rPr>
              <w:t xml:space="preserve">.  We also observed </w:t>
            </w:r>
            <w:r>
              <w:rPr>
                <w:sz w:val="18"/>
                <w:szCs w:val="18"/>
              </w:rPr>
              <w:t>smaller</w:t>
            </w:r>
            <w:r w:rsidRPr="000D0F33">
              <w:rPr>
                <w:sz w:val="18"/>
                <w:szCs w:val="18"/>
              </w:rPr>
              <w:t xml:space="preserve"> adverse movements in the market (market impact) following executions conducted with ELP</w:t>
            </w:r>
            <w:r>
              <w:rPr>
                <w:sz w:val="18"/>
                <w:szCs w:val="18"/>
              </w:rPr>
              <w:t xml:space="preserve">s </w:t>
            </w:r>
            <w:r w:rsidRPr="005325C1">
              <w:rPr>
                <w:sz w:val="18"/>
                <w:szCs w:val="18"/>
              </w:rPr>
              <w:t>compared to executions on conventional displayed trading venues.</w:t>
            </w:r>
          </w:p>
          <w:p w14:paraId="0118C381" w14:textId="77777777" w:rsidR="00D67F84" w:rsidRPr="000D0F33" w:rsidRDefault="00D67F84" w:rsidP="002579EE">
            <w:pPr>
              <w:spacing w:after="200" w:line="276" w:lineRule="auto"/>
              <w:ind w:left="720"/>
              <w:rPr>
                <w:b/>
                <w:sz w:val="18"/>
                <w:szCs w:val="18"/>
              </w:rPr>
            </w:pPr>
            <w:r w:rsidRPr="000D0F33">
              <w:rPr>
                <w:sz w:val="18"/>
                <w:szCs w:val="18"/>
              </w:rPr>
              <w:t xml:space="preserve">J.P. Morgan Venues: Our own Systematic Internaliser was our largest venue of execution by value in </w:t>
            </w:r>
            <w:r>
              <w:rPr>
                <w:sz w:val="18"/>
                <w:szCs w:val="18"/>
              </w:rPr>
              <w:t>2020</w:t>
            </w:r>
            <w:r w:rsidRPr="000D0F33">
              <w:rPr>
                <w:sz w:val="18"/>
                <w:szCs w:val="18"/>
              </w:rPr>
              <w:t xml:space="preserve">.    We observed an average price improvement of </w:t>
            </w:r>
            <w:r>
              <w:rPr>
                <w:b/>
                <w:sz w:val="18"/>
                <w:szCs w:val="18"/>
              </w:rPr>
              <w:t>3.3</w:t>
            </w:r>
            <w:r w:rsidRPr="000D0F33">
              <w:rPr>
                <w:sz w:val="18"/>
                <w:szCs w:val="18"/>
              </w:rPr>
              <w:t xml:space="preserve"> </w:t>
            </w:r>
            <w:r>
              <w:rPr>
                <w:sz w:val="18"/>
                <w:szCs w:val="18"/>
              </w:rPr>
              <w:t>bps</w:t>
            </w:r>
            <w:r w:rsidRPr="000D0F33">
              <w:rPr>
                <w:sz w:val="18"/>
                <w:szCs w:val="18"/>
              </w:rPr>
              <w:t xml:space="preserve"> </w:t>
            </w:r>
            <w:r>
              <w:rPr>
                <w:sz w:val="18"/>
                <w:szCs w:val="18"/>
              </w:rPr>
              <w:t xml:space="preserve">/ </w:t>
            </w:r>
            <w:r w:rsidRPr="009E3C9E">
              <w:rPr>
                <w:b/>
                <w:sz w:val="18"/>
                <w:szCs w:val="18"/>
              </w:rPr>
              <w:t>48.0%</w:t>
            </w:r>
            <w:r>
              <w:rPr>
                <w:sz w:val="18"/>
                <w:szCs w:val="18"/>
              </w:rPr>
              <w:t xml:space="preserve"> of spread </w:t>
            </w:r>
            <w:r w:rsidRPr="000D0F33">
              <w:rPr>
                <w:sz w:val="18"/>
                <w:szCs w:val="18"/>
              </w:rPr>
              <w:t xml:space="preserve">over the course of </w:t>
            </w:r>
            <w:r>
              <w:rPr>
                <w:sz w:val="18"/>
                <w:szCs w:val="18"/>
              </w:rPr>
              <w:t>2020</w:t>
            </w:r>
            <w:r w:rsidRPr="000D0F33">
              <w:rPr>
                <w:sz w:val="18"/>
                <w:szCs w:val="18"/>
              </w:rPr>
              <w:t>.</w:t>
            </w:r>
          </w:p>
          <w:p w14:paraId="2E10CD5C" w14:textId="77777777" w:rsidR="00D67F84" w:rsidRPr="000D0F33" w:rsidRDefault="00D67F84" w:rsidP="002579EE">
            <w:pPr>
              <w:spacing w:after="200" w:line="276" w:lineRule="auto"/>
              <w:ind w:left="360"/>
              <w:rPr>
                <w:sz w:val="18"/>
                <w:szCs w:val="18"/>
              </w:rPr>
            </w:pPr>
            <w:r w:rsidRPr="000D0F33">
              <w:rPr>
                <w:b/>
                <w:sz w:val="18"/>
                <w:szCs w:val="18"/>
              </w:rPr>
              <w:lastRenderedPageBreak/>
              <w:t>Latency and Fill Rates (</w:t>
            </w:r>
            <w:r w:rsidRPr="000D0F33">
              <w:rPr>
                <w:sz w:val="18"/>
                <w:szCs w:val="18"/>
                <w:u w:val="single"/>
              </w:rPr>
              <w:t>Applicable to Conventional Displayed Trading Venues Only)</w:t>
            </w:r>
            <w:r w:rsidRPr="000D0F33">
              <w:rPr>
                <w:b/>
                <w:sz w:val="18"/>
                <w:szCs w:val="18"/>
              </w:rPr>
              <w:t xml:space="preserve"> | </w:t>
            </w:r>
            <w:r w:rsidRPr="000D0F33">
              <w:rPr>
                <w:sz w:val="18"/>
                <w:szCs w:val="18"/>
              </w:rPr>
              <w:t>This relates to the ability of our systems to reliably access displayed liquidity.  This performance factor reflects that of our own systems as well as those of the venue itself and its physical location.</w:t>
            </w:r>
          </w:p>
          <w:p w14:paraId="55A2FD51" w14:textId="77777777" w:rsidR="00D67F84" w:rsidRPr="000D0F33" w:rsidRDefault="00D67F84" w:rsidP="002579EE">
            <w:pPr>
              <w:spacing w:after="200" w:line="276" w:lineRule="auto"/>
              <w:ind w:left="720"/>
              <w:rPr>
                <w:sz w:val="18"/>
                <w:szCs w:val="18"/>
              </w:rPr>
            </w:pPr>
            <w:r w:rsidRPr="000D0F33">
              <w:rPr>
                <w:b/>
                <w:sz w:val="18"/>
                <w:szCs w:val="18"/>
              </w:rPr>
              <w:t xml:space="preserve">Market access </w:t>
            </w:r>
            <w:proofErr w:type="gramStart"/>
            <w:r w:rsidRPr="000D0F33">
              <w:rPr>
                <w:b/>
                <w:sz w:val="18"/>
                <w:szCs w:val="18"/>
              </w:rPr>
              <w:t>latencies:</w:t>
            </w:r>
            <w:proofErr w:type="gramEnd"/>
            <w:r w:rsidRPr="000D0F33">
              <w:rPr>
                <w:sz w:val="18"/>
                <w:szCs w:val="18"/>
              </w:rPr>
              <w:t xml:space="preserve"> were largely driven by the location of a trading venue’s datacentre: Based on December </w:t>
            </w:r>
            <w:r>
              <w:rPr>
                <w:sz w:val="18"/>
                <w:szCs w:val="18"/>
              </w:rPr>
              <w:t>2020</w:t>
            </w:r>
            <w:r w:rsidRPr="000D0F33">
              <w:rPr>
                <w:sz w:val="18"/>
                <w:szCs w:val="18"/>
              </w:rPr>
              <w:t xml:space="preserve"> data, U.K.-based displayed venues exhibited median round-trip times ranging from </w:t>
            </w:r>
            <w:r>
              <w:rPr>
                <w:b/>
                <w:sz w:val="18"/>
                <w:szCs w:val="18"/>
              </w:rPr>
              <w:t>0.50</w:t>
            </w:r>
            <w:r w:rsidRPr="000D0F33">
              <w:rPr>
                <w:sz w:val="18"/>
                <w:szCs w:val="18"/>
              </w:rPr>
              <w:t xml:space="preserve"> – </w:t>
            </w:r>
            <w:r>
              <w:rPr>
                <w:b/>
                <w:sz w:val="18"/>
                <w:szCs w:val="18"/>
              </w:rPr>
              <w:t>1.60</w:t>
            </w:r>
            <w:r w:rsidRPr="000D0F33">
              <w:rPr>
                <w:sz w:val="18"/>
                <w:szCs w:val="18"/>
              </w:rPr>
              <w:t xml:space="preserve"> milliseconds.  </w:t>
            </w:r>
            <w:r>
              <w:rPr>
                <w:sz w:val="18"/>
                <w:szCs w:val="18"/>
              </w:rPr>
              <w:t>In addition, r</w:t>
            </w:r>
            <w:r w:rsidRPr="000D0F33">
              <w:rPr>
                <w:sz w:val="18"/>
                <w:szCs w:val="18"/>
              </w:rPr>
              <w:t xml:space="preserve">ound-trip times exhibited by venues based in continental datacentres ranged from </w:t>
            </w:r>
            <w:r>
              <w:rPr>
                <w:b/>
                <w:sz w:val="18"/>
                <w:szCs w:val="18"/>
              </w:rPr>
              <w:t>9.51</w:t>
            </w:r>
            <w:r w:rsidRPr="000D0F33">
              <w:rPr>
                <w:sz w:val="18"/>
                <w:szCs w:val="18"/>
              </w:rPr>
              <w:t xml:space="preserve"> – </w:t>
            </w:r>
            <w:r>
              <w:rPr>
                <w:b/>
                <w:sz w:val="18"/>
                <w:szCs w:val="18"/>
              </w:rPr>
              <w:t>24.23</w:t>
            </w:r>
            <w:r w:rsidRPr="000D0F33">
              <w:rPr>
                <w:sz w:val="18"/>
                <w:szCs w:val="18"/>
              </w:rPr>
              <w:t xml:space="preserve"> milliseconds.</w:t>
            </w:r>
          </w:p>
          <w:p w14:paraId="68DCE8EC" w14:textId="77777777" w:rsidR="00D67F84" w:rsidRPr="000D0F33" w:rsidRDefault="00D67F84" w:rsidP="002579EE">
            <w:pPr>
              <w:spacing w:after="200" w:line="276" w:lineRule="auto"/>
              <w:ind w:left="720"/>
              <w:rPr>
                <w:b/>
                <w:sz w:val="18"/>
                <w:szCs w:val="18"/>
              </w:rPr>
            </w:pPr>
            <w:r w:rsidRPr="000D0F33">
              <w:rPr>
                <w:b/>
                <w:sz w:val="18"/>
                <w:szCs w:val="18"/>
              </w:rPr>
              <w:t xml:space="preserve">Fill rates: </w:t>
            </w:r>
            <w:r w:rsidRPr="000D0F33">
              <w:rPr>
                <w:sz w:val="18"/>
                <w:szCs w:val="18"/>
              </w:rPr>
              <w:t xml:space="preserve">weighted average </w:t>
            </w:r>
            <w:r w:rsidRPr="000D0F33">
              <w:rPr>
                <w:i/>
                <w:sz w:val="18"/>
                <w:szCs w:val="18"/>
              </w:rPr>
              <w:t>fill rates</w:t>
            </w:r>
            <w:r w:rsidRPr="000D0F33">
              <w:rPr>
                <w:sz w:val="18"/>
                <w:szCs w:val="18"/>
                <w:vertAlign w:val="superscript"/>
              </w:rPr>
              <w:footnoteReference w:id="1"/>
            </w:r>
            <w:r w:rsidRPr="000D0F33">
              <w:rPr>
                <w:sz w:val="18"/>
                <w:szCs w:val="18"/>
              </w:rPr>
              <w:t xml:space="preserve"> obtained across lit venues for immediate or cancelled (IOC) orders were </w:t>
            </w:r>
            <w:r>
              <w:rPr>
                <w:b/>
                <w:sz w:val="18"/>
                <w:szCs w:val="18"/>
              </w:rPr>
              <w:t>95.0</w:t>
            </w:r>
            <w:r w:rsidRPr="000D0F33">
              <w:rPr>
                <w:sz w:val="18"/>
                <w:szCs w:val="18"/>
              </w:rPr>
              <w:t xml:space="preserve">% when sending orders to individual venues and </w:t>
            </w:r>
            <w:r>
              <w:rPr>
                <w:b/>
                <w:sz w:val="18"/>
                <w:szCs w:val="18"/>
              </w:rPr>
              <w:t>91.0</w:t>
            </w:r>
            <w:r w:rsidRPr="000D0F33">
              <w:rPr>
                <w:sz w:val="18"/>
                <w:szCs w:val="18"/>
              </w:rPr>
              <w:t xml:space="preserve">% when sending orders to multiple venues within a single routing decision.  From these data, we conclude that we </w:t>
            </w:r>
            <w:proofErr w:type="gramStart"/>
            <w:r w:rsidRPr="000D0F33">
              <w:rPr>
                <w:sz w:val="18"/>
                <w:szCs w:val="18"/>
              </w:rPr>
              <w:t>are able to</w:t>
            </w:r>
            <w:proofErr w:type="gramEnd"/>
            <w:r w:rsidRPr="000D0F33">
              <w:rPr>
                <w:sz w:val="18"/>
                <w:szCs w:val="18"/>
              </w:rPr>
              <w:t xml:space="preserve"> reliably capture the liquidity displayed to us by these trading venues.</w:t>
            </w:r>
          </w:p>
          <w:p w14:paraId="7DE09BD1" w14:textId="77777777" w:rsidR="00D67F84" w:rsidRPr="000D0F33" w:rsidRDefault="00D67F84" w:rsidP="002579EE">
            <w:pPr>
              <w:contextualSpacing/>
              <w:rPr>
                <w:rFonts w:eastAsia="Calibri" w:cs="Times New Roman"/>
                <w:color w:val="0000FF"/>
                <w:sz w:val="18"/>
                <w:szCs w:val="18"/>
              </w:rPr>
            </w:pPr>
          </w:p>
        </w:tc>
      </w:tr>
    </w:tbl>
    <w:tbl>
      <w:tblPr>
        <w:tblStyle w:val="TableGrid1"/>
        <w:tblW w:w="14400" w:type="dxa"/>
        <w:tblInd w:w="468" w:type="dxa"/>
        <w:tblLook w:val="04A0" w:firstRow="1" w:lastRow="0" w:firstColumn="1" w:lastColumn="0" w:noHBand="0" w:noVBand="1"/>
      </w:tblPr>
      <w:tblGrid>
        <w:gridCol w:w="4410"/>
        <w:gridCol w:w="9990"/>
      </w:tblGrid>
      <w:tr w:rsidR="00D67F84" w:rsidRPr="005B09B0" w14:paraId="0569A10E" w14:textId="77777777" w:rsidTr="002579EE">
        <w:tc>
          <w:tcPr>
            <w:tcW w:w="4410" w:type="dxa"/>
            <w:tcBorders>
              <w:left w:val="single" w:sz="12" w:space="0" w:color="auto"/>
            </w:tcBorders>
            <w:shd w:val="clear" w:color="auto" w:fill="D9D9D9"/>
          </w:tcPr>
          <w:p w14:paraId="5CA72F25" w14:textId="77777777" w:rsidR="00D67F84" w:rsidRPr="005B09B0" w:rsidRDefault="00D67F84" w:rsidP="002579EE">
            <w:pPr>
              <w:rPr>
                <w:rFonts w:eastAsia="Calibri"/>
                <w:sz w:val="18"/>
                <w:szCs w:val="18"/>
              </w:rPr>
            </w:pPr>
            <w:r w:rsidRPr="005B09B0">
              <w:rPr>
                <w:rFonts w:eastAsia="Calibri"/>
                <w:sz w:val="18"/>
                <w:szCs w:val="18"/>
              </w:rPr>
              <w:lastRenderedPageBreak/>
              <w:t>Relative importance given to execution factors &amp; other considerations</w:t>
            </w:r>
          </w:p>
        </w:tc>
        <w:tc>
          <w:tcPr>
            <w:tcW w:w="9990" w:type="dxa"/>
            <w:tcBorders>
              <w:right w:val="single" w:sz="12" w:space="0" w:color="auto"/>
            </w:tcBorders>
          </w:tcPr>
          <w:p w14:paraId="14C88DCA" w14:textId="77777777" w:rsidR="00D67F84" w:rsidRPr="007532A3" w:rsidRDefault="00D67F84" w:rsidP="002579EE">
            <w:pPr>
              <w:pStyle w:val="Heading2"/>
              <w:outlineLvl w:val="1"/>
              <w:rPr>
                <w:rFonts w:asciiTheme="minorHAnsi" w:hAnsiTheme="minorHAnsi" w:cstheme="minorHAnsi"/>
                <w:color w:val="000000" w:themeColor="text1"/>
                <w:sz w:val="18"/>
                <w:szCs w:val="18"/>
                <w:u w:val="single"/>
              </w:rPr>
            </w:pPr>
            <w:r w:rsidRPr="007532A3">
              <w:rPr>
                <w:rFonts w:asciiTheme="minorHAnsi" w:hAnsiTheme="minorHAnsi" w:cstheme="minorHAnsi"/>
                <w:color w:val="000000" w:themeColor="text1"/>
                <w:sz w:val="18"/>
                <w:szCs w:val="18"/>
                <w:u w:val="single"/>
              </w:rPr>
              <w:t>Execution factors affecting short term venue selection:</w:t>
            </w:r>
          </w:p>
          <w:p w14:paraId="6CF42EB6" w14:textId="77777777" w:rsidR="00D67F84" w:rsidRPr="00AB2361" w:rsidRDefault="00D67F84" w:rsidP="002579EE">
            <w:pPr>
              <w:pStyle w:val="23BodyText"/>
              <w:rPr>
                <w:rFonts w:asciiTheme="minorHAnsi" w:hAnsiTheme="minorHAnsi" w:cstheme="minorHAnsi"/>
                <w:color w:val="000000" w:themeColor="text1"/>
                <w:sz w:val="18"/>
                <w:szCs w:val="18"/>
              </w:rPr>
            </w:pPr>
          </w:p>
          <w:p w14:paraId="6EB0DC06" w14:textId="77777777" w:rsidR="00D67F84" w:rsidRPr="00AB2361" w:rsidRDefault="00D67F84" w:rsidP="002579EE">
            <w:pPr>
              <w:pStyle w:val="23BodyText"/>
              <w:rPr>
                <w:rFonts w:asciiTheme="minorHAnsi" w:hAnsiTheme="minorHAnsi" w:cstheme="minorHAnsi"/>
                <w:color w:val="000000" w:themeColor="text1"/>
                <w:sz w:val="18"/>
                <w:szCs w:val="18"/>
              </w:rPr>
            </w:pPr>
            <w:r w:rsidRPr="00AB2361">
              <w:rPr>
                <w:rFonts w:asciiTheme="minorHAnsi" w:hAnsiTheme="minorHAnsi" w:cstheme="minorHAnsi"/>
                <w:color w:val="000000" w:themeColor="text1"/>
                <w:sz w:val="18"/>
                <w:szCs w:val="18"/>
              </w:rPr>
              <w:t xml:space="preserve">Where we are choosing between multiple </w:t>
            </w:r>
            <w:r w:rsidRPr="00AB2361">
              <w:rPr>
                <w:rFonts w:asciiTheme="minorHAnsi" w:hAnsiTheme="minorHAnsi" w:cstheme="minorHAnsi"/>
                <w:i/>
                <w:color w:val="000000" w:themeColor="text1"/>
                <w:sz w:val="18"/>
                <w:szCs w:val="18"/>
              </w:rPr>
              <w:t>execution venues</w:t>
            </w:r>
            <w:r w:rsidRPr="00AB2361">
              <w:rPr>
                <w:rFonts w:asciiTheme="minorHAnsi" w:hAnsiTheme="minorHAnsi" w:cstheme="minorHAnsi"/>
                <w:color w:val="000000" w:themeColor="text1"/>
                <w:sz w:val="18"/>
                <w:szCs w:val="18"/>
              </w:rPr>
              <w:t xml:space="preserve"> together with our own capacity as a Systematic Internaliser, we will adhere to the following principles according to the type of order that we are trying to execute:</w:t>
            </w:r>
          </w:p>
          <w:p w14:paraId="11F5BF34" w14:textId="77777777" w:rsidR="00D67F84" w:rsidRPr="00AB2361" w:rsidRDefault="00D67F84" w:rsidP="00D67F84">
            <w:pPr>
              <w:pStyle w:val="Bullet1"/>
              <w:numPr>
                <w:ilvl w:val="0"/>
                <w:numId w:val="4"/>
              </w:numPr>
              <w:rPr>
                <w:rFonts w:asciiTheme="minorHAnsi" w:hAnsiTheme="minorHAnsi" w:cstheme="minorHAnsi"/>
                <w:color w:val="000000" w:themeColor="text1"/>
                <w:sz w:val="18"/>
                <w:szCs w:val="18"/>
              </w:rPr>
            </w:pPr>
            <w:r w:rsidRPr="00AB2361">
              <w:rPr>
                <w:rFonts w:asciiTheme="minorHAnsi" w:hAnsiTheme="minorHAnsi" w:cstheme="minorHAnsi"/>
                <w:i/>
                <w:color w:val="000000" w:themeColor="text1"/>
                <w:sz w:val="18"/>
                <w:szCs w:val="18"/>
              </w:rPr>
              <w:t>marketable</w:t>
            </w:r>
            <w:r w:rsidRPr="00AB2361">
              <w:rPr>
                <w:rFonts w:asciiTheme="minorHAnsi" w:hAnsiTheme="minorHAnsi" w:cstheme="minorHAnsi"/>
                <w:color w:val="000000" w:themeColor="text1"/>
                <w:sz w:val="18"/>
                <w:szCs w:val="18"/>
              </w:rPr>
              <w:t xml:space="preserve"> </w:t>
            </w:r>
            <w:r w:rsidRPr="00AB2361">
              <w:rPr>
                <w:rFonts w:asciiTheme="minorHAnsi" w:hAnsiTheme="minorHAnsi" w:cstheme="minorHAnsi"/>
                <w:i/>
                <w:color w:val="000000" w:themeColor="text1"/>
                <w:sz w:val="18"/>
                <w:szCs w:val="18"/>
              </w:rPr>
              <w:t>orders</w:t>
            </w:r>
            <w:r w:rsidRPr="00AB2361">
              <w:rPr>
                <w:rFonts w:asciiTheme="minorHAnsi" w:hAnsiTheme="minorHAnsi" w:cstheme="minorHAnsi"/>
                <w:color w:val="000000" w:themeColor="text1"/>
                <w:sz w:val="18"/>
                <w:szCs w:val="18"/>
              </w:rPr>
              <w:t xml:space="preserve">: our </w:t>
            </w:r>
            <w:r>
              <w:rPr>
                <w:rFonts w:asciiTheme="minorHAnsi" w:hAnsiTheme="minorHAnsi" w:cstheme="minorHAnsi"/>
                <w:color w:val="000000" w:themeColor="text1"/>
                <w:sz w:val="18"/>
                <w:szCs w:val="18"/>
              </w:rPr>
              <w:t>objective is to</w:t>
            </w:r>
            <w:r w:rsidRPr="00AB2361">
              <w:rPr>
                <w:rFonts w:asciiTheme="minorHAnsi" w:hAnsiTheme="minorHAnsi" w:cstheme="minorHAnsi"/>
                <w:color w:val="000000" w:themeColor="text1"/>
                <w:sz w:val="18"/>
                <w:szCs w:val="18"/>
              </w:rPr>
              <w:t xml:space="preserve"> achieve the best price</w:t>
            </w:r>
            <w:r>
              <w:rPr>
                <w:rStyle w:val="FootnoteReference"/>
                <w:rFonts w:asciiTheme="minorHAnsi" w:hAnsiTheme="minorHAnsi" w:cstheme="minorHAnsi"/>
                <w:color w:val="000000" w:themeColor="text1"/>
                <w:sz w:val="18"/>
                <w:szCs w:val="18"/>
              </w:rPr>
              <w:footnoteReference w:id="2"/>
            </w:r>
            <w:r w:rsidRPr="00AB2361">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whilst</w:t>
            </w:r>
            <w:r w:rsidRPr="00AB2361">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minimizing</w:t>
            </w:r>
            <w:r w:rsidRPr="00AB2361">
              <w:rPr>
                <w:rFonts w:asciiTheme="minorHAnsi" w:hAnsiTheme="minorHAnsi" w:cstheme="minorHAnsi"/>
                <w:color w:val="000000" w:themeColor="text1"/>
                <w:sz w:val="18"/>
                <w:szCs w:val="18"/>
              </w:rPr>
              <w:t xml:space="preserve"> the chance </w:t>
            </w:r>
            <w:r>
              <w:rPr>
                <w:rFonts w:asciiTheme="minorHAnsi" w:hAnsiTheme="minorHAnsi" w:cstheme="minorHAnsi"/>
                <w:color w:val="000000" w:themeColor="text1"/>
                <w:sz w:val="18"/>
                <w:szCs w:val="18"/>
              </w:rPr>
              <w:t xml:space="preserve">of </w:t>
            </w:r>
            <w:r w:rsidRPr="00AB2361">
              <w:rPr>
                <w:rFonts w:asciiTheme="minorHAnsi" w:hAnsiTheme="minorHAnsi" w:cstheme="minorHAnsi"/>
                <w:color w:val="000000" w:themeColor="text1"/>
                <w:sz w:val="18"/>
                <w:szCs w:val="18"/>
              </w:rPr>
              <w:t>adverse price movements around the time of execution</w:t>
            </w:r>
            <w:r>
              <w:rPr>
                <w:rFonts w:asciiTheme="minorHAnsi" w:hAnsiTheme="minorHAnsi" w:cstheme="minorHAnsi"/>
                <w:color w:val="000000" w:themeColor="text1"/>
                <w:sz w:val="18"/>
                <w:szCs w:val="18"/>
              </w:rPr>
              <w:t xml:space="preserve"> and </w:t>
            </w:r>
            <w:r w:rsidRPr="00AB2361">
              <w:rPr>
                <w:rFonts w:asciiTheme="minorHAnsi" w:hAnsiTheme="minorHAnsi" w:cstheme="minorHAnsi"/>
                <w:color w:val="000000" w:themeColor="text1"/>
                <w:sz w:val="18"/>
                <w:szCs w:val="18"/>
              </w:rPr>
              <w:t xml:space="preserve">maximizing the speed and likelihood of execution. We may </w:t>
            </w:r>
            <w:proofErr w:type="gramStart"/>
            <w:r w:rsidRPr="00AB2361">
              <w:rPr>
                <w:rFonts w:asciiTheme="minorHAnsi" w:hAnsiTheme="minorHAnsi" w:cstheme="minorHAnsi"/>
                <w:color w:val="000000" w:themeColor="text1"/>
                <w:sz w:val="18"/>
                <w:szCs w:val="18"/>
              </w:rPr>
              <w:t>take into account</w:t>
            </w:r>
            <w:proofErr w:type="gramEnd"/>
            <w:r w:rsidRPr="00AB2361">
              <w:rPr>
                <w:rFonts w:asciiTheme="minorHAnsi" w:hAnsiTheme="minorHAnsi" w:cstheme="minorHAnsi"/>
                <w:color w:val="000000" w:themeColor="text1"/>
                <w:sz w:val="18"/>
                <w:szCs w:val="18"/>
              </w:rPr>
              <w:t xml:space="preserve"> the cost of execution provided that it is not to the detriment of the other factors.</w:t>
            </w:r>
          </w:p>
          <w:p w14:paraId="1BB4EC75" w14:textId="77777777" w:rsidR="00D67F84" w:rsidRPr="00AB2361" w:rsidRDefault="00D67F84" w:rsidP="00D67F84">
            <w:pPr>
              <w:pStyle w:val="Bullet1"/>
              <w:numPr>
                <w:ilvl w:val="0"/>
                <w:numId w:val="4"/>
              </w:numPr>
              <w:rPr>
                <w:rFonts w:asciiTheme="minorHAnsi" w:hAnsiTheme="minorHAnsi" w:cstheme="minorHAnsi"/>
                <w:color w:val="000000" w:themeColor="text1"/>
                <w:sz w:val="18"/>
                <w:szCs w:val="18"/>
              </w:rPr>
            </w:pPr>
            <w:r w:rsidRPr="00AB2361">
              <w:rPr>
                <w:rFonts w:asciiTheme="minorHAnsi" w:hAnsiTheme="minorHAnsi" w:cstheme="minorHAnsi"/>
                <w:i/>
                <w:color w:val="000000" w:themeColor="text1"/>
                <w:sz w:val="18"/>
                <w:szCs w:val="18"/>
              </w:rPr>
              <w:t>non-marketable orders</w:t>
            </w:r>
            <w:r w:rsidRPr="00AB2361">
              <w:rPr>
                <w:rFonts w:asciiTheme="minorHAnsi" w:hAnsiTheme="minorHAnsi" w:cstheme="minorHAnsi"/>
                <w:color w:val="000000" w:themeColor="text1"/>
                <w:sz w:val="18"/>
                <w:szCs w:val="18"/>
              </w:rPr>
              <w:t xml:space="preserve"> on </w:t>
            </w:r>
            <w:r w:rsidRPr="00AB2361">
              <w:rPr>
                <w:rFonts w:asciiTheme="minorHAnsi" w:hAnsiTheme="minorHAnsi" w:cstheme="minorHAnsi"/>
                <w:i/>
                <w:color w:val="000000" w:themeColor="text1"/>
                <w:sz w:val="18"/>
                <w:szCs w:val="18"/>
              </w:rPr>
              <w:t>displayed execution</w:t>
            </w:r>
            <w:r w:rsidRPr="00AB2361">
              <w:rPr>
                <w:rFonts w:asciiTheme="minorHAnsi" w:hAnsiTheme="minorHAnsi" w:cstheme="minorHAnsi"/>
                <w:color w:val="000000" w:themeColor="text1"/>
                <w:sz w:val="18"/>
                <w:szCs w:val="18"/>
              </w:rPr>
              <w:t xml:space="preserve"> venues: we consider that the price of the execution is </w:t>
            </w:r>
            <w:proofErr w:type="gramStart"/>
            <w:r w:rsidRPr="00AB2361">
              <w:rPr>
                <w:rFonts w:asciiTheme="minorHAnsi" w:hAnsiTheme="minorHAnsi" w:cstheme="minorHAnsi"/>
                <w:color w:val="000000" w:themeColor="text1"/>
                <w:sz w:val="18"/>
                <w:szCs w:val="18"/>
              </w:rPr>
              <w:t>set</w:t>
            </w:r>
            <w:proofErr w:type="gramEnd"/>
            <w:r w:rsidRPr="00AB2361">
              <w:rPr>
                <w:rFonts w:asciiTheme="minorHAnsi" w:hAnsiTheme="minorHAnsi" w:cstheme="minorHAnsi"/>
                <w:color w:val="000000" w:themeColor="text1"/>
                <w:sz w:val="18"/>
                <w:szCs w:val="18"/>
              </w:rPr>
              <w:t xml:space="preserve"> and our choice of venue will be determined by maximizing both the speed and likelihood of execution only.</w:t>
            </w:r>
          </w:p>
          <w:p w14:paraId="06E011AF" w14:textId="77777777" w:rsidR="00D67F84" w:rsidRPr="00AB2361" w:rsidRDefault="00D67F84" w:rsidP="00D67F84">
            <w:pPr>
              <w:pStyle w:val="Bullet1"/>
              <w:numPr>
                <w:ilvl w:val="0"/>
                <w:numId w:val="4"/>
              </w:numPr>
              <w:rPr>
                <w:rFonts w:asciiTheme="minorHAnsi" w:hAnsiTheme="minorHAnsi" w:cstheme="minorHAnsi"/>
                <w:color w:val="000000" w:themeColor="text1"/>
                <w:sz w:val="18"/>
                <w:szCs w:val="18"/>
              </w:rPr>
            </w:pPr>
            <w:r w:rsidRPr="00AB2361">
              <w:rPr>
                <w:rFonts w:asciiTheme="minorHAnsi" w:hAnsiTheme="minorHAnsi" w:cstheme="minorHAnsi"/>
                <w:color w:val="000000" w:themeColor="text1"/>
                <w:sz w:val="18"/>
                <w:szCs w:val="18"/>
              </w:rPr>
              <w:t xml:space="preserve">orders across a range of </w:t>
            </w:r>
            <w:r w:rsidRPr="00AB2361">
              <w:rPr>
                <w:rFonts w:asciiTheme="minorHAnsi" w:hAnsiTheme="minorHAnsi" w:cstheme="minorHAnsi"/>
                <w:i/>
                <w:color w:val="000000" w:themeColor="text1"/>
                <w:sz w:val="18"/>
                <w:szCs w:val="18"/>
              </w:rPr>
              <w:t xml:space="preserve">non-displayed, </w:t>
            </w:r>
            <w:r w:rsidRPr="00AB2361">
              <w:rPr>
                <w:rFonts w:asciiTheme="minorHAnsi" w:hAnsiTheme="minorHAnsi" w:cstheme="minorHAnsi"/>
                <w:color w:val="000000" w:themeColor="text1"/>
                <w:sz w:val="18"/>
                <w:szCs w:val="18"/>
              </w:rPr>
              <w:t>or</w:t>
            </w:r>
            <w:r w:rsidRPr="00AB2361">
              <w:rPr>
                <w:rFonts w:asciiTheme="minorHAnsi" w:hAnsiTheme="minorHAnsi" w:cstheme="minorHAnsi"/>
                <w:i/>
                <w:color w:val="000000" w:themeColor="text1"/>
                <w:sz w:val="18"/>
                <w:szCs w:val="18"/>
              </w:rPr>
              <w:t xml:space="preserve"> periodic-auction </w:t>
            </w:r>
            <w:r w:rsidRPr="00AB2361">
              <w:rPr>
                <w:rFonts w:asciiTheme="minorHAnsi" w:hAnsiTheme="minorHAnsi" w:cstheme="minorHAnsi"/>
                <w:color w:val="000000" w:themeColor="text1"/>
                <w:sz w:val="18"/>
                <w:szCs w:val="18"/>
              </w:rPr>
              <w:t xml:space="preserve">venues: our priority will be to maximize the speed and likelihood of execution whilst also minimizing the chance that there are adverse price movements around the time of execution. The goal of minimizing adverse price movements may result in preferencing </w:t>
            </w:r>
            <w:r w:rsidRPr="00AB2361">
              <w:rPr>
                <w:rFonts w:asciiTheme="minorHAnsi" w:hAnsiTheme="minorHAnsi" w:cstheme="minorHAnsi"/>
                <w:i/>
                <w:color w:val="000000" w:themeColor="text1"/>
                <w:sz w:val="18"/>
                <w:szCs w:val="18"/>
              </w:rPr>
              <w:t>internalisation</w:t>
            </w:r>
            <w:r w:rsidRPr="00AB2361">
              <w:rPr>
                <w:rFonts w:asciiTheme="minorHAnsi" w:hAnsiTheme="minorHAnsi" w:cstheme="minorHAnsi"/>
                <w:color w:val="000000" w:themeColor="text1"/>
                <w:sz w:val="18"/>
                <w:szCs w:val="18"/>
              </w:rPr>
              <w:t>.</w:t>
            </w:r>
          </w:p>
          <w:p w14:paraId="5D131D7F" w14:textId="77777777" w:rsidR="00D67F84" w:rsidRPr="00AB2361" w:rsidRDefault="00D67F84" w:rsidP="002579EE">
            <w:pPr>
              <w:jc w:val="both"/>
              <w:rPr>
                <w:rFonts w:cstheme="minorHAnsi"/>
                <w:color w:val="000000" w:themeColor="text1"/>
                <w:sz w:val="18"/>
                <w:szCs w:val="18"/>
              </w:rPr>
            </w:pPr>
            <w:r w:rsidRPr="00AB2361">
              <w:rPr>
                <w:rFonts w:cstheme="minorHAnsi"/>
                <w:color w:val="000000" w:themeColor="text1"/>
                <w:sz w:val="18"/>
                <w:szCs w:val="18"/>
              </w:rPr>
              <w:t xml:space="preserve">Please refer to our </w:t>
            </w:r>
            <w:hyperlink r:id="rId18" w:history="1">
              <w:r w:rsidRPr="00AB2361">
                <w:rPr>
                  <w:rStyle w:val="Hyperlink"/>
                  <w:rFonts w:cstheme="minorHAnsi"/>
                  <w:color w:val="000000" w:themeColor="text1"/>
                  <w:sz w:val="18"/>
                  <w:szCs w:val="18"/>
                </w:rPr>
                <w:t>execution policy</w:t>
              </w:r>
            </w:hyperlink>
            <w:r w:rsidRPr="00AB2361">
              <w:rPr>
                <w:rFonts w:cstheme="minorHAnsi"/>
                <w:color w:val="000000" w:themeColor="text1"/>
                <w:sz w:val="18"/>
                <w:szCs w:val="18"/>
              </w:rPr>
              <w:t xml:space="preserve"> for further information on factors affecting our choice of execution venues.</w:t>
            </w:r>
          </w:p>
          <w:p w14:paraId="415F7072" w14:textId="77777777" w:rsidR="00D67F84" w:rsidRPr="00AB2361" w:rsidRDefault="00D67F84" w:rsidP="002579EE">
            <w:pPr>
              <w:jc w:val="both"/>
              <w:rPr>
                <w:rFonts w:ascii="Arial" w:eastAsia="LF_Kai" w:hAnsi="Arial" w:cs="Arial"/>
                <w:color w:val="000000"/>
                <w:sz w:val="18"/>
                <w:szCs w:val="18"/>
                <w:lang w:eastAsia="zh-CN" w:bidi="yi-Hebr"/>
              </w:rPr>
            </w:pPr>
          </w:p>
        </w:tc>
      </w:tr>
      <w:tr w:rsidR="00D67F84" w:rsidRPr="005B09B0" w14:paraId="1362A4BD" w14:textId="77777777" w:rsidTr="002579EE">
        <w:tc>
          <w:tcPr>
            <w:tcW w:w="4410" w:type="dxa"/>
            <w:tcBorders>
              <w:left w:val="single" w:sz="12" w:space="0" w:color="auto"/>
            </w:tcBorders>
            <w:shd w:val="clear" w:color="auto" w:fill="D9D9D9"/>
          </w:tcPr>
          <w:p w14:paraId="40544F2E" w14:textId="77777777" w:rsidR="00D67F84" w:rsidRPr="005B09B0" w:rsidRDefault="00D67F84" w:rsidP="002579EE">
            <w:pPr>
              <w:rPr>
                <w:rFonts w:eastAsia="Calibri"/>
                <w:sz w:val="18"/>
                <w:szCs w:val="18"/>
              </w:rPr>
            </w:pPr>
            <w:r w:rsidRPr="005B09B0">
              <w:rPr>
                <w:rFonts w:eastAsia="Calibri"/>
                <w:sz w:val="18"/>
                <w:szCs w:val="18"/>
              </w:rPr>
              <w:t>Execution venue close links / conflicts of interest / common ownerships</w:t>
            </w:r>
          </w:p>
        </w:tc>
        <w:tc>
          <w:tcPr>
            <w:tcW w:w="9990" w:type="dxa"/>
            <w:tcBorders>
              <w:right w:val="single" w:sz="12" w:space="0" w:color="auto"/>
            </w:tcBorders>
          </w:tcPr>
          <w:p w14:paraId="7D6E8148" w14:textId="77777777" w:rsidR="00D67F84" w:rsidRPr="00AB2361" w:rsidRDefault="00D67F84" w:rsidP="002579EE">
            <w:pPr>
              <w:rPr>
                <w:rFonts w:eastAsia="Calibri" w:cstheme="minorHAnsi"/>
                <w:sz w:val="18"/>
                <w:szCs w:val="18"/>
              </w:rPr>
            </w:pPr>
            <w:r w:rsidRPr="00AB2361">
              <w:rPr>
                <w:rFonts w:cstheme="minorHAnsi"/>
                <w:sz w:val="18"/>
                <w:szCs w:val="18"/>
              </w:rPr>
              <w:t xml:space="preserve">J.P. Morgan Financial Investments Limited </w:t>
            </w:r>
            <w:r w:rsidRPr="00AB2361">
              <w:rPr>
                <w:rFonts w:cstheme="minorHAnsi"/>
                <w:color w:val="000000" w:themeColor="text1"/>
                <w:sz w:val="18"/>
                <w:szCs w:val="18"/>
              </w:rPr>
              <w:t xml:space="preserve">has a stake </w:t>
            </w:r>
            <w:r w:rsidRPr="007532A3">
              <w:rPr>
                <w:rFonts w:cstheme="minorHAnsi"/>
                <w:color w:val="000000" w:themeColor="text1"/>
                <w:sz w:val="18"/>
                <w:szCs w:val="18"/>
              </w:rPr>
              <w:t>(of 2.4%)</w:t>
            </w:r>
            <w:r w:rsidRPr="00AB2361">
              <w:rPr>
                <w:rFonts w:cstheme="minorHAnsi"/>
                <w:color w:val="000000" w:themeColor="text1"/>
                <w:sz w:val="18"/>
                <w:szCs w:val="18"/>
              </w:rPr>
              <w:t xml:space="preserve"> in Turquoise Global Holdings Limited which owns the trading venue </w:t>
            </w:r>
            <w:r w:rsidRPr="00AB2361">
              <w:rPr>
                <w:rFonts w:cstheme="minorHAnsi"/>
                <w:i/>
                <w:color w:val="000000" w:themeColor="text1"/>
                <w:sz w:val="18"/>
                <w:szCs w:val="18"/>
              </w:rPr>
              <w:t>Turquoise</w:t>
            </w:r>
            <w:r w:rsidRPr="00AB2361">
              <w:rPr>
                <w:rFonts w:cstheme="minorHAnsi"/>
                <w:color w:val="000000" w:themeColor="text1"/>
                <w:sz w:val="18"/>
                <w:szCs w:val="18"/>
              </w:rPr>
              <w:t>.</w:t>
            </w:r>
            <w:r>
              <w:rPr>
                <w:rFonts w:cstheme="minorHAnsi"/>
                <w:color w:val="000000" w:themeColor="text1"/>
                <w:sz w:val="18"/>
                <w:szCs w:val="18"/>
              </w:rPr>
              <w:t xml:space="preserve">  J.P. Morgan AG is a fully owned subsidiary of </w:t>
            </w:r>
            <w:r w:rsidRPr="00506291">
              <w:rPr>
                <w:rFonts w:cstheme="minorHAnsi"/>
                <w:color w:val="000000" w:themeColor="text1"/>
                <w:sz w:val="18"/>
                <w:szCs w:val="18"/>
              </w:rPr>
              <w:t>JPMorgan Chase &amp; Co. (J.P. Morgan)</w:t>
            </w:r>
          </w:p>
        </w:tc>
      </w:tr>
      <w:tr w:rsidR="00D67F84" w:rsidRPr="005B09B0" w14:paraId="79282F52" w14:textId="77777777" w:rsidTr="002579EE">
        <w:tc>
          <w:tcPr>
            <w:tcW w:w="4410" w:type="dxa"/>
            <w:tcBorders>
              <w:left w:val="single" w:sz="12" w:space="0" w:color="auto"/>
            </w:tcBorders>
            <w:shd w:val="clear" w:color="auto" w:fill="D9D9D9"/>
          </w:tcPr>
          <w:p w14:paraId="4A56AA9F" w14:textId="77777777" w:rsidR="00D67F84" w:rsidRPr="005B09B0" w:rsidRDefault="00D67F84" w:rsidP="002579EE">
            <w:pPr>
              <w:rPr>
                <w:rFonts w:eastAsia="Calibri"/>
                <w:sz w:val="18"/>
                <w:szCs w:val="18"/>
              </w:rPr>
            </w:pPr>
            <w:r w:rsidRPr="005B09B0">
              <w:rPr>
                <w:rFonts w:eastAsia="Calibri"/>
                <w:sz w:val="18"/>
                <w:szCs w:val="18"/>
              </w:rPr>
              <w:t>Specific execution venue arrangements</w:t>
            </w:r>
          </w:p>
        </w:tc>
        <w:tc>
          <w:tcPr>
            <w:tcW w:w="9990" w:type="dxa"/>
            <w:tcBorders>
              <w:right w:val="single" w:sz="12" w:space="0" w:color="auto"/>
            </w:tcBorders>
          </w:tcPr>
          <w:p w14:paraId="79DC65EF" w14:textId="77777777" w:rsidR="00D67F84" w:rsidRPr="00AB2361" w:rsidRDefault="00D67F84" w:rsidP="002579EE">
            <w:pPr>
              <w:spacing w:after="120"/>
              <w:rPr>
                <w:rFonts w:cstheme="minorHAnsi"/>
                <w:color w:val="000000" w:themeColor="text1"/>
                <w:sz w:val="18"/>
                <w:szCs w:val="18"/>
              </w:rPr>
            </w:pPr>
            <w:r w:rsidRPr="00AB2361">
              <w:rPr>
                <w:rFonts w:cstheme="minorHAnsi"/>
                <w:color w:val="000000" w:themeColor="text1"/>
                <w:sz w:val="18"/>
                <w:szCs w:val="18"/>
              </w:rPr>
              <w:t>Regarding payments made or received, discounts, rebates or non-monetary benefits received:</w:t>
            </w:r>
          </w:p>
          <w:p w14:paraId="173F694E" w14:textId="77777777" w:rsidR="00D67F84" w:rsidRDefault="00D67F84" w:rsidP="002579EE">
            <w:pPr>
              <w:spacing w:after="120"/>
              <w:rPr>
                <w:rFonts w:cstheme="minorHAnsi"/>
                <w:color w:val="000000" w:themeColor="text1"/>
                <w:sz w:val="18"/>
                <w:szCs w:val="18"/>
              </w:rPr>
            </w:pPr>
            <w:r w:rsidRPr="00AB2361">
              <w:rPr>
                <w:rFonts w:cstheme="minorHAnsi"/>
                <w:color w:val="000000" w:themeColor="text1"/>
                <w:sz w:val="18"/>
                <w:szCs w:val="18"/>
              </w:rPr>
              <w:t xml:space="preserve">J.P. Morgan does not have any specific arrangements with any trading venues other than standard publicly available terms.  Where J.P. Morgan contracts with execution venues, it may negotiate specific commercial terms bilaterally with those </w:t>
            </w:r>
            <w:proofErr w:type="gramStart"/>
            <w:r w:rsidRPr="00AB2361">
              <w:rPr>
                <w:rFonts w:cstheme="minorHAnsi"/>
                <w:color w:val="000000" w:themeColor="text1"/>
                <w:sz w:val="18"/>
                <w:szCs w:val="18"/>
              </w:rPr>
              <w:t>venues</w:t>
            </w:r>
            <w:proofErr w:type="gramEnd"/>
            <w:r w:rsidRPr="00AB2361">
              <w:rPr>
                <w:rFonts w:cstheme="minorHAnsi"/>
                <w:color w:val="000000" w:themeColor="text1"/>
                <w:sz w:val="18"/>
                <w:szCs w:val="18"/>
              </w:rPr>
              <w:t xml:space="preserve"> but those terms will not include being compensated directly or in-directly for business given to those venues.</w:t>
            </w:r>
          </w:p>
          <w:p w14:paraId="76B782F7" w14:textId="77777777" w:rsidR="00D67F84" w:rsidRPr="00AB2361" w:rsidRDefault="00D67F84" w:rsidP="002579EE">
            <w:pPr>
              <w:spacing w:after="120"/>
              <w:rPr>
                <w:rFonts w:eastAsia="Calibri" w:cstheme="minorHAnsi"/>
                <w:color w:val="000000"/>
                <w:sz w:val="18"/>
                <w:szCs w:val="18"/>
              </w:rPr>
            </w:pPr>
          </w:p>
        </w:tc>
      </w:tr>
      <w:tr w:rsidR="00D67F84" w:rsidRPr="005B09B0" w14:paraId="09B26699" w14:textId="77777777" w:rsidTr="002579EE">
        <w:tc>
          <w:tcPr>
            <w:tcW w:w="4410" w:type="dxa"/>
            <w:shd w:val="clear" w:color="auto" w:fill="D9D9D9" w:themeFill="background1" w:themeFillShade="D9"/>
          </w:tcPr>
          <w:p w14:paraId="15AC44B8" w14:textId="77777777" w:rsidR="00D67F84" w:rsidRPr="005B09B0" w:rsidRDefault="00D67F84" w:rsidP="002579EE">
            <w:pPr>
              <w:rPr>
                <w:rFonts w:eastAsia="Calibri"/>
                <w:sz w:val="18"/>
                <w:szCs w:val="18"/>
              </w:rPr>
            </w:pPr>
            <w:r w:rsidRPr="005B09B0">
              <w:rPr>
                <w:rFonts w:eastAsia="Calibri"/>
                <w:sz w:val="18"/>
                <w:szCs w:val="18"/>
              </w:rPr>
              <w:lastRenderedPageBreak/>
              <w:t>Changes to execution venues</w:t>
            </w:r>
          </w:p>
        </w:tc>
        <w:tc>
          <w:tcPr>
            <w:tcW w:w="9990" w:type="dxa"/>
          </w:tcPr>
          <w:p w14:paraId="0CD4F7ED" w14:textId="5E22B131" w:rsidR="00D67F84" w:rsidRPr="0001756E" w:rsidRDefault="00D67F84" w:rsidP="002579EE">
            <w:pPr>
              <w:spacing w:after="120"/>
              <w:rPr>
                <w:rFonts w:cstheme="minorHAnsi"/>
                <w:sz w:val="18"/>
                <w:szCs w:val="18"/>
              </w:rPr>
            </w:pPr>
            <w:r w:rsidRPr="0001756E">
              <w:rPr>
                <w:rFonts w:cstheme="minorHAnsi"/>
                <w:sz w:val="18"/>
                <w:szCs w:val="18"/>
              </w:rPr>
              <w:t xml:space="preserve">In </w:t>
            </w:r>
            <w:r>
              <w:rPr>
                <w:rFonts w:cstheme="minorHAnsi"/>
                <w:sz w:val="18"/>
                <w:szCs w:val="18"/>
              </w:rPr>
              <w:t>2020</w:t>
            </w:r>
            <w:r w:rsidRPr="0001756E">
              <w:rPr>
                <w:rFonts w:cstheme="minorHAnsi"/>
                <w:sz w:val="18"/>
                <w:szCs w:val="18"/>
              </w:rPr>
              <w:t xml:space="preserve"> we added several venues to the list of significant venues cited within our execution policy</w:t>
            </w:r>
            <w:r>
              <w:rPr>
                <w:sz w:val="18"/>
                <w:szCs w:val="18"/>
              </w:rPr>
              <w:t xml:space="preserve">.  In particular, </w:t>
            </w:r>
            <w:r>
              <w:rPr>
                <w:rFonts w:cstheme="minorHAnsi"/>
                <w:sz w:val="18"/>
                <w:szCs w:val="18"/>
              </w:rPr>
              <w:t>t</w:t>
            </w:r>
            <w:r w:rsidRPr="0001756E">
              <w:rPr>
                <w:rFonts w:cstheme="minorHAnsi"/>
                <w:sz w:val="18"/>
                <w:szCs w:val="18"/>
              </w:rPr>
              <w:t>he following venues were</w:t>
            </w:r>
            <w:r>
              <w:rPr>
                <w:rFonts w:cstheme="minorHAnsi"/>
                <w:sz w:val="18"/>
                <w:szCs w:val="18"/>
              </w:rPr>
              <w:t xml:space="preserve"> also </w:t>
            </w:r>
            <w:r w:rsidRPr="0001756E">
              <w:rPr>
                <w:rFonts w:cstheme="minorHAnsi"/>
                <w:sz w:val="18"/>
                <w:szCs w:val="18"/>
              </w:rPr>
              <w:t xml:space="preserve">added to </w:t>
            </w:r>
            <w:r>
              <w:rPr>
                <w:rFonts w:cstheme="minorHAnsi"/>
                <w:sz w:val="18"/>
                <w:szCs w:val="18"/>
              </w:rPr>
              <w:t xml:space="preserve">further </w:t>
            </w:r>
            <w:r w:rsidRPr="0001756E">
              <w:rPr>
                <w:rFonts w:cstheme="minorHAnsi"/>
                <w:sz w:val="18"/>
                <w:szCs w:val="18"/>
              </w:rPr>
              <w:t xml:space="preserve">improve </w:t>
            </w:r>
            <w:r>
              <w:rPr>
                <w:rFonts w:cstheme="minorHAnsi"/>
                <w:sz w:val="18"/>
                <w:szCs w:val="18"/>
              </w:rPr>
              <w:t>access to liquidity:</w:t>
            </w:r>
          </w:p>
          <w:p w14:paraId="6137F199" w14:textId="77777777" w:rsidR="00D67F84" w:rsidRDefault="00D67F84" w:rsidP="00D67F84">
            <w:pPr>
              <w:pStyle w:val="ListParagraph"/>
              <w:numPr>
                <w:ilvl w:val="0"/>
                <w:numId w:val="4"/>
              </w:numPr>
              <w:spacing w:after="120"/>
              <w:rPr>
                <w:rFonts w:cstheme="minorHAnsi"/>
                <w:sz w:val="18"/>
                <w:szCs w:val="18"/>
              </w:rPr>
            </w:pPr>
            <w:r>
              <w:rPr>
                <w:rFonts w:cstheme="minorHAnsi"/>
                <w:sz w:val="18"/>
                <w:szCs w:val="18"/>
              </w:rPr>
              <w:t>J.</w:t>
            </w:r>
            <w:proofErr w:type="gramStart"/>
            <w:r>
              <w:rPr>
                <w:rFonts w:cstheme="minorHAnsi"/>
                <w:sz w:val="18"/>
                <w:szCs w:val="18"/>
              </w:rPr>
              <w:t>P.Morgan</w:t>
            </w:r>
            <w:proofErr w:type="gramEnd"/>
            <w:r>
              <w:rPr>
                <w:rFonts w:cstheme="minorHAnsi"/>
                <w:sz w:val="18"/>
                <w:szCs w:val="18"/>
              </w:rPr>
              <w:t xml:space="preserve"> Securities PLC (addition of </w:t>
            </w:r>
            <w:r>
              <w:rPr>
                <w:rFonts w:cstheme="minorHAnsi"/>
                <w:i/>
                <w:sz w:val="18"/>
                <w:szCs w:val="18"/>
              </w:rPr>
              <w:t>Close Cross</w:t>
            </w:r>
            <w:r>
              <w:rPr>
                <w:rFonts w:cstheme="minorHAnsi"/>
                <w:sz w:val="18"/>
                <w:szCs w:val="18"/>
              </w:rPr>
              <w:t xml:space="preserve"> service)</w:t>
            </w:r>
          </w:p>
          <w:p w14:paraId="3A3C64C2" w14:textId="77777777" w:rsidR="00D67F84" w:rsidRPr="009E3C9E" w:rsidRDefault="00D67F84" w:rsidP="00D67F84">
            <w:pPr>
              <w:pStyle w:val="ListParagraph"/>
              <w:numPr>
                <w:ilvl w:val="0"/>
                <w:numId w:val="4"/>
              </w:numPr>
              <w:spacing w:after="120"/>
              <w:rPr>
                <w:rFonts w:eastAsia="Calibri" w:cstheme="minorHAnsi"/>
                <w:sz w:val="18"/>
                <w:szCs w:val="18"/>
              </w:rPr>
            </w:pPr>
            <w:r w:rsidRPr="007532A3">
              <w:rPr>
                <w:rFonts w:cstheme="minorHAnsi"/>
                <w:sz w:val="18"/>
                <w:szCs w:val="18"/>
              </w:rPr>
              <w:t>Jump Trading B.V.</w:t>
            </w:r>
          </w:p>
          <w:p w14:paraId="39F228B7" w14:textId="77777777" w:rsidR="00D67F84" w:rsidRPr="006962CE" w:rsidRDefault="00D67F84" w:rsidP="002579EE">
            <w:pPr>
              <w:spacing w:after="120"/>
              <w:rPr>
                <w:rFonts w:eastAsia="Calibri" w:cstheme="minorHAnsi"/>
                <w:color w:val="000000"/>
                <w:sz w:val="18"/>
                <w:szCs w:val="18"/>
              </w:rPr>
            </w:pPr>
            <w:r>
              <w:rPr>
                <w:rFonts w:eastAsia="Calibri" w:cstheme="minorHAnsi"/>
                <w:color w:val="000000"/>
                <w:sz w:val="18"/>
                <w:szCs w:val="18"/>
              </w:rPr>
              <w:t>W</w:t>
            </w:r>
            <w:r w:rsidRPr="006962CE">
              <w:rPr>
                <w:rFonts w:eastAsia="Calibri" w:cstheme="minorHAnsi"/>
                <w:color w:val="000000"/>
                <w:sz w:val="18"/>
                <w:szCs w:val="18"/>
              </w:rPr>
              <w:t>e also added access to the E</w:t>
            </w:r>
            <w:r>
              <w:rPr>
                <w:rFonts w:eastAsia="Calibri" w:cstheme="minorHAnsi"/>
                <w:color w:val="000000"/>
                <w:sz w:val="18"/>
                <w:szCs w:val="18"/>
              </w:rPr>
              <w:t>EA</w:t>
            </w:r>
            <w:r w:rsidRPr="006962CE">
              <w:rPr>
                <w:rFonts w:eastAsia="Calibri" w:cstheme="minorHAnsi"/>
                <w:color w:val="000000"/>
                <w:sz w:val="18"/>
                <w:szCs w:val="18"/>
              </w:rPr>
              <w:t xml:space="preserve"> </w:t>
            </w:r>
            <w:r>
              <w:rPr>
                <w:rFonts w:eastAsia="Calibri" w:cstheme="minorHAnsi"/>
                <w:color w:val="000000"/>
                <w:sz w:val="18"/>
                <w:szCs w:val="18"/>
              </w:rPr>
              <w:t>operations</w:t>
            </w:r>
            <w:r w:rsidRPr="006962CE">
              <w:rPr>
                <w:rFonts w:eastAsia="Calibri" w:cstheme="minorHAnsi"/>
                <w:color w:val="000000"/>
                <w:sz w:val="18"/>
                <w:szCs w:val="18"/>
              </w:rPr>
              <w:t xml:space="preserve"> of</w:t>
            </w:r>
            <w:r>
              <w:rPr>
                <w:rFonts w:eastAsia="Calibri" w:cstheme="minorHAnsi"/>
                <w:color w:val="000000"/>
                <w:sz w:val="18"/>
                <w:szCs w:val="18"/>
              </w:rPr>
              <w:t xml:space="preserve"> some</w:t>
            </w:r>
            <w:r w:rsidRPr="006962CE">
              <w:rPr>
                <w:rFonts w:eastAsia="Calibri" w:cstheme="minorHAnsi"/>
                <w:color w:val="000000"/>
                <w:sz w:val="18"/>
                <w:szCs w:val="18"/>
              </w:rPr>
              <w:t xml:space="preserve"> relevant existing venues in preparation for the</w:t>
            </w:r>
            <w:r>
              <w:rPr>
                <w:rFonts w:eastAsia="Calibri" w:cstheme="minorHAnsi"/>
                <w:color w:val="000000"/>
                <w:sz w:val="18"/>
                <w:szCs w:val="18"/>
              </w:rPr>
              <w:t xml:space="preserve"> departure of the</w:t>
            </w:r>
            <w:r w:rsidRPr="006962CE">
              <w:rPr>
                <w:rFonts w:eastAsia="Calibri" w:cstheme="minorHAnsi"/>
                <w:color w:val="000000"/>
                <w:sz w:val="18"/>
                <w:szCs w:val="18"/>
              </w:rPr>
              <w:t xml:space="preserve"> United Kingdom </w:t>
            </w:r>
            <w:r>
              <w:rPr>
                <w:rFonts w:eastAsia="Calibri" w:cstheme="minorHAnsi"/>
                <w:color w:val="000000"/>
                <w:sz w:val="18"/>
                <w:szCs w:val="18"/>
              </w:rPr>
              <w:t>from</w:t>
            </w:r>
            <w:r w:rsidRPr="006962CE">
              <w:rPr>
                <w:rFonts w:eastAsia="Calibri" w:cstheme="minorHAnsi"/>
                <w:color w:val="000000"/>
                <w:sz w:val="18"/>
                <w:szCs w:val="18"/>
              </w:rPr>
              <w:t xml:space="preserve"> the European Union.  As part of </w:t>
            </w:r>
            <w:r>
              <w:rPr>
                <w:rFonts w:eastAsia="Calibri" w:cstheme="minorHAnsi"/>
                <w:color w:val="000000"/>
                <w:sz w:val="18"/>
                <w:szCs w:val="18"/>
              </w:rPr>
              <w:t>these Brexit preparations</w:t>
            </w:r>
            <w:r w:rsidRPr="006962CE">
              <w:rPr>
                <w:rFonts w:eastAsia="Calibri" w:cstheme="minorHAnsi"/>
                <w:color w:val="000000"/>
                <w:sz w:val="18"/>
                <w:szCs w:val="18"/>
              </w:rPr>
              <w:t xml:space="preserve">, </w:t>
            </w:r>
            <w:r>
              <w:rPr>
                <w:rFonts w:eastAsia="Calibri" w:cstheme="minorHAnsi"/>
                <w:color w:val="000000"/>
                <w:sz w:val="18"/>
                <w:szCs w:val="18"/>
              </w:rPr>
              <w:t xml:space="preserve">we added access to </w:t>
            </w:r>
            <w:r w:rsidRPr="006962CE">
              <w:rPr>
                <w:rFonts w:eastAsia="Calibri" w:cstheme="minorHAnsi"/>
                <w:color w:val="000000"/>
                <w:sz w:val="18"/>
                <w:szCs w:val="18"/>
              </w:rPr>
              <w:t>the following venues:</w:t>
            </w:r>
          </w:p>
          <w:p w14:paraId="1A10BDD7" w14:textId="77777777" w:rsidR="00D67F84" w:rsidRPr="009E3C9E" w:rsidRDefault="00D67F84" w:rsidP="00D67F84">
            <w:pPr>
              <w:pStyle w:val="ListParagraph"/>
              <w:numPr>
                <w:ilvl w:val="0"/>
                <w:numId w:val="4"/>
              </w:numPr>
              <w:spacing w:after="120"/>
              <w:rPr>
                <w:rFonts w:eastAsia="Calibri" w:cstheme="minorHAnsi"/>
                <w:color w:val="000000"/>
                <w:sz w:val="18"/>
                <w:szCs w:val="18"/>
              </w:rPr>
            </w:pPr>
            <w:proofErr w:type="spellStart"/>
            <w:r w:rsidRPr="006962CE">
              <w:rPr>
                <w:rFonts w:cstheme="minorHAnsi"/>
                <w:sz w:val="18"/>
                <w:szCs w:val="18"/>
              </w:rPr>
              <w:t>Cboe</w:t>
            </w:r>
            <w:proofErr w:type="spellEnd"/>
            <w:r w:rsidRPr="006962CE">
              <w:rPr>
                <w:rFonts w:cstheme="minorHAnsi"/>
                <w:sz w:val="18"/>
                <w:szCs w:val="18"/>
              </w:rPr>
              <w:t xml:space="preserve"> DXE </w:t>
            </w:r>
            <w:r>
              <w:rPr>
                <w:rFonts w:cstheme="minorHAnsi"/>
                <w:sz w:val="18"/>
                <w:szCs w:val="18"/>
              </w:rPr>
              <w:t>(</w:t>
            </w:r>
            <w:r w:rsidRPr="006962CE">
              <w:rPr>
                <w:rFonts w:cstheme="minorHAnsi"/>
                <w:sz w:val="18"/>
                <w:szCs w:val="18"/>
              </w:rPr>
              <w:t>Lit</w:t>
            </w:r>
            <w:r>
              <w:rPr>
                <w:rFonts w:cstheme="minorHAnsi"/>
                <w:sz w:val="18"/>
                <w:szCs w:val="18"/>
              </w:rPr>
              <w:t xml:space="preserve">, </w:t>
            </w:r>
            <w:r w:rsidRPr="006962CE">
              <w:rPr>
                <w:rFonts w:cstheme="minorHAnsi"/>
                <w:sz w:val="18"/>
                <w:szCs w:val="18"/>
              </w:rPr>
              <w:t>Dark</w:t>
            </w:r>
            <w:r>
              <w:rPr>
                <w:rFonts w:cstheme="minorHAnsi"/>
                <w:sz w:val="18"/>
                <w:szCs w:val="18"/>
              </w:rPr>
              <w:t xml:space="preserve">, </w:t>
            </w:r>
            <w:r w:rsidRPr="006962CE">
              <w:rPr>
                <w:rFonts w:cstheme="minorHAnsi"/>
                <w:sz w:val="18"/>
                <w:szCs w:val="18"/>
              </w:rPr>
              <w:t>Periodic Auction</w:t>
            </w:r>
            <w:r>
              <w:rPr>
                <w:rFonts w:cstheme="minorHAnsi"/>
                <w:sz w:val="18"/>
                <w:szCs w:val="18"/>
              </w:rPr>
              <w:t>, Closing Cross)</w:t>
            </w:r>
          </w:p>
          <w:p w14:paraId="0F4F8DEA" w14:textId="77777777" w:rsidR="00D67F84" w:rsidRPr="009E3C9E" w:rsidRDefault="00D67F84" w:rsidP="00D67F84">
            <w:pPr>
              <w:pStyle w:val="ListParagraph"/>
              <w:numPr>
                <w:ilvl w:val="0"/>
                <w:numId w:val="4"/>
              </w:numPr>
              <w:spacing w:after="120"/>
              <w:rPr>
                <w:rFonts w:eastAsia="Calibri" w:cstheme="minorHAnsi"/>
                <w:color w:val="000000"/>
                <w:sz w:val="18"/>
                <w:szCs w:val="18"/>
              </w:rPr>
            </w:pPr>
            <w:r>
              <w:rPr>
                <w:rFonts w:cstheme="minorHAnsi"/>
                <w:sz w:val="18"/>
                <w:szCs w:val="18"/>
              </w:rPr>
              <w:t>Liquidnet EU</w:t>
            </w:r>
          </w:p>
          <w:p w14:paraId="7A04154F" w14:textId="77777777" w:rsidR="00D67F84" w:rsidRPr="009E3C9E" w:rsidRDefault="00D67F84" w:rsidP="00D67F84">
            <w:pPr>
              <w:pStyle w:val="ListParagraph"/>
              <w:numPr>
                <w:ilvl w:val="0"/>
                <w:numId w:val="4"/>
              </w:numPr>
              <w:spacing w:after="120"/>
              <w:rPr>
                <w:rFonts w:eastAsia="Calibri" w:cstheme="minorHAnsi"/>
                <w:color w:val="000000"/>
                <w:sz w:val="18"/>
                <w:szCs w:val="18"/>
              </w:rPr>
            </w:pPr>
            <w:r>
              <w:rPr>
                <w:rFonts w:cstheme="minorHAnsi"/>
                <w:sz w:val="18"/>
                <w:szCs w:val="18"/>
              </w:rPr>
              <w:t>Turquoise NL (Lit, Dark, Periodic, Block Discovery)</w:t>
            </w:r>
          </w:p>
        </w:tc>
      </w:tr>
      <w:tr w:rsidR="00D67F84" w:rsidRPr="00D8585C" w14:paraId="21DEAC46" w14:textId="77777777" w:rsidTr="002579EE">
        <w:tc>
          <w:tcPr>
            <w:tcW w:w="4410" w:type="dxa"/>
            <w:shd w:val="clear" w:color="auto" w:fill="D9D9D9" w:themeFill="background1" w:themeFillShade="D9"/>
          </w:tcPr>
          <w:p w14:paraId="1C16A877" w14:textId="77777777" w:rsidR="00D67F84" w:rsidRPr="005B09B0" w:rsidRDefault="00D67F84" w:rsidP="002579EE">
            <w:pPr>
              <w:rPr>
                <w:rFonts w:eastAsia="Calibri"/>
                <w:sz w:val="18"/>
                <w:szCs w:val="18"/>
              </w:rPr>
            </w:pPr>
            <w:r w:rsidRPr="005B09B0">
              <w:rPr>
                <w:rFonts w:eastAsia="Calibri"/>
                <w:sz w:val="18"/>
                <w:szCs w:val="18"/>
              </w:rPr>
              <w:t>Client distinctions</w:t>
            </w:r>
          </w:p>
        </w:tc>
        <w:tc>
          <w:tcPr>
            <w:tcW w:w="9990" w:type="dxa"/>
          </w:tcPr>
          <w:p w14:paraId="2C49AF81" w14:textId="77777777" w:rsidR="00D67F84" w:rsidRPr="00D8585C" w:rsidRDefault="00D67F84" w:rsidP="002579EE">
            <w:pPr>
              <w:spacing w:after="120"/>
              <w:rPr>
                <w:rFonts w:eastAsia="Calibri"/>
                <w:sz w:val="18"/>
                <w:szCs w:val="18"/>
              </w:rPr>
            </w:pPr>
            <w:r w:rsidRPr="00D8585C">
              <w:rPr>
                <w:sz w:val="18"/>
                <w:szCs w:val="18"/>
              </w:rPr>
              <w:t>We do not operate differing execution arrangements by client categorisation.</w:t>
            </w:r>
          </w:p>
        </w:tc>
      </w:tr>
      <w:tr w:rsidR="00D67F84" w:rsidRPr="005B09B0" w14:paraId="6FF222FC" w14:textId="77777777" w:rsidTr="002579EE">
        <w:tc>
          <w:tcPr>
            <w:tcW w:w="4410" w:type="dxa"/>
            <w:shd w:val="clear" w:color="auto" w:fill="D9D9D9" w:themeFill="background1" w:themeFillShade="D9"/>
          </w:tcPr>
          <w:p w14:paraId="7683CD0C" w14:textId="77777777" w:rsidR="00D67F84" w:rsidRPr="005B09B0" w:rsidRDefault="00D67F84" w:rsidP="002579EE">
            <w:pPr>
              <w:rPr>
                <w:rFonts w:eastAsia="Calibri"/>
                <w:sz w:val="18"/>
                <w:szCs w:val="18"/>
              </w:rPr>
            </w:pPr>
            <w:r w:rsidRPr="005B09B0">
              <w:rPr>
                <w:rFonts w:eastAsia="Calibri"/>
                <w:sz w:val="18"/>
                <w:szCs w:val="18"/>
              </w:rPr>
              <w:t>Use of data/tools relating to the quality of execution</w:t>
            </w:r>
          </w:p>
          <w:p w14:paraId="395E3A79" w14:textId="77777777" w:rsidR="00D67F84" w:rsidRPr="005B09B0" w:rsidRDefault="00D67F84" w:rsidP="002579EE">
            <w:pPr>
              <w:rPr>
                <w:rFonts w:eastAsia="Calibri"/>
                <w:sz w:val="18"/>
                <w:szCs w:val="18"/>
              </w:rPr>
            </w:pPr>
          </w:p>
        </w:tc>
        <w:tc>
          <w:tcPr>
            <w:tcW w:w="9990" w:type="dxa"/>
          </w:tcPr>
          <w:p w14:paraId="6EF60A32" w14:textId="77777777" w:rsidR="00D67F84" w:rsidRPr="005B09B0" w:rsidRDefault="00D67F84" w:rsidP="002579EE">
            <w:pPr>
              <w:spacing w:after="120"/>
              <w:rPr>
                <w:rFonts w:eastAsia="Calibri"/>
                <w:sz w:val="18"/>
                <w:szCs w:val="18"/>
              </w:rPr>
            </w:pPr>
            <w:r w:rsidRPr="00D8585C">
              <w:rPr>
                <w:rFonts w:eastAsia="Calibri"/>
                <w:sz w:val="18"/>
                <w:szCs w:val="18"/>
              </w:rPr>
              <w:t>We have used group-level transaction cost analysis technology in our analysis.</w:t>
            </w:r>
          </w:p>
        </w:tc>
      </w:tr>
      <w:tr w:rsidR="00D67F84" w:rsidRPr="005B09B0" w14:paraId="14A9F830" w14:textId="77777777" w:rsidTr="002579EE">
        <w:tc>
          <w:tcPr>
            <w:tcW w:w="4410" w:type="dxa"/>
            <w:shd w:val="clear" w:color="auto" w:fill="D9D9D9" w:themeFill="background1" w:themeFillShade="D9"/>
          </w:tcPr>
          <w:p w14:paraId="37352372" w14:textId="77777777" w:rsidR="00D67F84" w:rsidRPr="005B09B0" w:rsidRDefault="00D67F84" w:rsidP="002579EE">
            <w:pPr>
              <w:rPr>
                <w:rFonts w:eastAsia="Calibri"/>
                <w:sz w:val="18"/>
                <w:szCs w:val="18"/>
              </w:rPr>
            </w:pPr>
            <w:r w:rsidRPr="005B09B0">
              <w:rPr>
                <w:rFonts w:eastAsia="Calibri"/>
                <w:sz w:val="18"/>
                <w:szCs w:val="18"/>
              </w:rPr>
              <w:t>Use of consolidated tape provider output or other algorithms to assess execution performances</w:t>
            </w:r>
          </w:p>
        </w:tc>
        <w:tc>
          <w:tcPr>
            <w:tcW w:w="9990" w:type="dxa"/>
          </w:tcPr>
          <w:p w14:paraId="0C9D96AC" w14:textId="77777777" w:rsidR="00D67F84" w:rsidRPr="005B09B0" w:rsidRDefault="00D67F84" w:rsidP="002579EE">
            <w:pPr>
              <w:spacing w:after="120"/>
              <w:rPr>
                <w:rFonts w:eastAsia="Calibri"/>
                <w:sz w:val="18"/>
                <w:szCs w:val="18"/>
              </w:rPr>
            </w:pPr>
            <w:r>
              <w:rPr>
                <w:rFonts w:eastAsia="Calibri"/>
                <w:sz w:val="18"/>
                <w:szCs w:val="18"/>
              </w:rPr>
              <w:t>Not Applicable</w:t>
            </w:r>
          </w:p>
        </w:tc>
      </w:tr>
    </w:tbl>
    <w:p w14:paraId="52327D07" w14:textId="77777777" w:rsidR="00D67F84" w:rsidRPr="000D0F33" w:rsidRDefault="00D67F84">
      <w:pPr>
        <w:rPr>
          <w:color w:val="FF0000"/>
          <w:sz w:val="18"/>
          <w:szCs w:val="18"/>
        </w:rPr>
      </w:pPr>
    </w:p>
    <w:sectPr w:rsidR="00D67F84" w:rsidRPr="000D0F33" w:rsidSect="00247E2E">
      <w:footerReference w:type="default" r:id="rId19"/>
      <w:pgSz w:w="16838" w:h="11906" w:orient="landscape"/>
      <w:pgMar w:top="90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F5957" w14:textId="77777777" w:rsidR="006F471D" w:rsidRDefault="006F471D" w:rsidP="00791919">
      <w:pPr>
        <w:spacing w:after="0" w:line="240" w:lineRule="auto"/>
      </w:pPr>
      <w:r>
        <w:separator/>
      </w:r>
    </w:p>
  </w:endnote>
  <w:endnote w:type="continuationSeparator" w:id="0">
    <w:p w14:paraId="621B879F" w14:textId="77777777" w:rsidR="006F471D" w:rsidRDefault="006F471D"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F_Kai">
    <w:panose1 w:val="03000509000000000000"/>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30BEC" w14:textId="6F2A0D3E" w:rsidR="00791919" w:rsidRDefault="005241CA">
    <w:pPr>
      <w:pStyle w:val="Foote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3B4AEE4C"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3B4AEE4C"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FA54C" w14:textId="77777777" w:rsidR="006F471D" w:rsidRDefault="006F471D" w:rsidP="00791919">
      <w:pPr>
        <w:spacing w:after="0" w:line="240" w:lineRule="auto"/>
      </w:pPr>
      <w:r>
        <w:separator/>
      </w:r>
    </w:p>
  </w:footnote>
  <w:footnote w:type="continuationSeparator" w:id="0">
    <w:p w14:paraId="13DA865B" w14:textId="77777777" w:rsidR="006F471D" w:rsidRDefault="006F471D" w:rsidP="00791919">
      <w:pPr>
        <w:spacing w:after="0" w:line="240" w:lineRule="auto"/>
      </w:pPr>
      <w:r>
        <w:continuationSeparator/>
      </w:r>
    </w:p>
  </w:footnote>
  <w:footnote w:id="1">
    <w:p w14:paraId="57A309A6" w14:textId="77777777" w:rsidR="00D67F84" w:rsidRPr="00AB2361" w:rsidRDefault="00D67F84" w:rsidP="00D67F84">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 w:id="2">
    <w:p w14:paraId="24B618B2" w14:textId="77777777" w:rsidR="00D67F84" w:rsidRDefault="00D67F84" w:rsidP="00D67F84">
      <w:pPr>
        <w:pStyle w:val="FootnoteText"/>
      </w:pPr>
      <w:r w:rsidRPr="00AB2361">
        <w:rPr>
          <w:rStyle w:val="FootnoteReference"/>
          <w:sz w:val="16"/>
          <w:szCs w:val="16"/>
        </w:rPr>
        <w:footnoteRef/>
      </w:r>
      <w:r w:rsidRPr="00AB2361">
        <w:rPr>
          <w:sz w:val="16"/>
          <w:szCs w:val="16"/>
        </w:rPr>
        <w:t xml:space="preserve"> </w:t>
      </w:r>
      <w:r w:rsidRPr="00AB2361">
        <w:rPr>
          <w:rFonts w:cstheme="minorHAnsi"/>
          <w:sz w:val="16"/>
          <w:szCs w:val="16"/>
        </w:rPr>
        <w:t>We may make an exception to this if we have reason to believe that, in selecting the best price for an individual portion of the order that, course of action may result in a less beneficial price for the whole order.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3057"/>
    <w:multiLevelType w:val="hybridMultilevel"/>
    <w:tmpl w:val="734CA9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731340"/>
    <w:multiLevelType w:val="multilevel"/>
    <w:tmpl w:val="40CC6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num w:numId="1">
    <w:abstractNumId w:val="0"/>
  </w:num>
  <w:num w:numId="2">
    <w:abstractNumId w:val="2"/>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6F12"/>
    <w:rsid w:val="00024780"/>
    <w:rsid w:val="000254A4"/>
    <w:rsid w:val="000303E1"/>
    <w:rsid w:val="0003509A"/>
    <w:rsid w:val="000469E1"/>
    <w:rsid w:val="00055516"/>
    <w:rsid w:val="00070C4A"/>
    <w:rsid w:val="000B29B9"/>
    <w:rsid w:val="000B419E"/>
    <w:rsid w:val="000C176F"/>
    <w:rsid w:val="000C17E3"/>
    <w:rsid w:val="000D0F33"/>
    <w:rsid w:val="000E17D4"/>
    <w:rsid w:val="00101160"/>
    <w:rsid w:val="0012368B"/>
    <w:rsid w:val="00141D70"/>
    <w:rsid w:val="00192129"/>
    <w:rsid w:val="001D0CA7"/>
    <w:rsid w:val="001E0FA6"/>
    <w:rsid w:val="001E1FA8"/>
    <w:rsid w:val="001E4046"/>
    <w:rsid w:val="001F31F6"/>
    <w:rsid w:val="00210DEB"/>
    <w:rsid w:val="0021663E"/>
    <w:rsid w:val="00217666"/>
    <w:rsid w:val="00221856"/>
    <w:rsid w:val="00225795"/>
    <w:rsid w:val="00236BCE"/>
    <w:rsid w:val="00247E2E"/>
    <w:rsid w:val="00261122"/>
    <w:rsid w:val="00266B66"/>
    <w:rsid w:val="002A632E"/>
    <w:rsid w:val="002B0BC5"/>
    <w:rsid w:val="002B39A0"/>
    <w:rsid w:val="002D07D7"/>
    <w:rsid w:val="002D0CBC"/>
    <w:rsid w:val="002D1780"/>
    <w:rsid w:val="003008C6"/>
    <w:rsid w:val="00307A3E"/>
    <w:rsid w:val="003377A4"/>
    <w:rsid w:val="0035063A"/>
    <w:rsid w:val="003537EB"/>
    <w:rsid w:val="003930C7"/>
    <w:rsid w:val="003951FB"/>
    <w:rsid w:val="003A6015"/>
    <w:rsid w:val="003C48D4"/>
    <w:rsid w:val="003C66DE"/>
    <w:rsid w:val="00416AFA"/>
    <w:rsid w:val="00425674"/>
    <w:rsid w:val="00433831"/>
    <w:rsid w:val="0047552E"/>
    <w:rsid w:val="00475742"/>
    <w:rsid w:val="004C1AF2"/>
    <w:rsid w:val="004C6AA2"/>
    <w:rsid w:val="00500AC8"/>
    <w:rsid w:val="00503C42"/>
    <w:rsid w:val="005074E2"/>
    <w:rsid w:val="005110F9"/>
    <w:rsid w:val="00520497"/>
    <w:rsid w:val="00520E03"/>
    <w:rsid w:val="00521911"/>
    <w:rsid w:val="005241CA"/>
    <w:rsid w:val="00576636"/>
    <w:rsid w:val="00581F73"/>
    <w:rsid w:val="0058305E"/>
    <w:rsid w:val="005B14E1"/>
    <w:rsid w:val="005B29EE"/>
    <w:rsid w:val="005B7CF7"/>
    <w:rsid w:val="005C53DA"/>
    <w:rsid w:val="00604858"/>
    <w:rsid w:val="00633326"/>
    <w:rsid w:val="006414A4"/>
    <w:rsid w:val="00667ED1"/>
    <w:rsid w:val="006734AA"/>
    <w:rsid w:val="006A4195"/>
    <w:rsid w:val="006B03A5"/>
    <w:rsid w:val="006B67A6"/>
    <w:rsid w:val="006D5230"/>
    <w:rsid w:val="006F471D"/>
    <w:rsid w:val="007152F0"/>
    <w:rsid w:val="00736EF1"/>
    <w:rsid w:val="00737842"/>
    <w:rsid w:val="00751949"/>
    <w:rsid w:val="00763068"/>
    <w:rsid w:val="007746E1"/>
    <w:rsid w:val="007770DF"/>
    <w:rsid w:val="00785BF6"/>
    <w:rsid w:val="00791919"/>
    <w:rsid w:val="00793B3D"/>
    <w:rsid w:val="007A6941"/>
    <w:rsid w:val="007B228E"/>
    <w:rsid w:val="007C76A9"/>
    <w:rsid w:val="007E11AD"/>
    <w:rsid w:val="007F2C90"/>
    <w:rsid w:val="00800816"/>
    <w:rsid w:val="00804E0D"/>
    <w:rsid w:val="00823A00"/>
    <w:rsid w:val="008475F2"/>
    <w:rsid w:val="00870342"/>
    <w:rsid w:val="00884B6B"/>
    <w:rsid w:val="008A1C89"/>
    <w:rsid w:val="008B146A"/>
    <w:rsid w:val="008C3D9F"/>
    <w:rsid w:val="008E595C"/>
    <w:rsid w:val="00901F44"/>
    <w:rsid w:val="00902C96"/>
    <w:rsid w:val="00912863"/>
    <w:rsid w:val="00915F9B"/>
    <w:rsid w:val="00917912"/>
    <w:rsid w:val="009203A5"/>
    <w:rsid w:val="0095730C"/>
    <w:rsid w:val="00965D08"/>
    <w:rsid w:val="009770AA"/>
    <w:rsid w:val="009802F7"/>
    <w:rsid w:val="009B0A25"/>
    <w:rsid w:val="009F4CF1"/>
    <w:rsid w:val="00A00273"/>
    <w:rsid w:val="00A32451"/>
    <w:rsid w:val="00A76335"/>
    <w:rsid w:val="00A80B4E"/>
    <w:rsid w:val="00A83C8C"/>
    <w:rsid w:val="00A872C5"/>
    <w:rsid w:val="00AA0005"/>
    <w:rsid w:val="00AA0C80"/>
    <w:rsid w:val="00AA5380"/>
    <w:rsid w:val="00AD1EBB"/>
    <w:rsid w:val="00AE1027"/>
    <w:rsid w:val="00AE4966"/>
    <w:rsid w:val="00AF2596"/>
    <w:rsid w:val="00B11AB1"/>
    <w:rsid w:val="00B409AA"/>
    <w:rsid w:val="00B41BFE"/>
    <w:rsid w:val="00B55C2A"/>
    <w:rsid w:val="00B674C2"/>
    <w:rsid w:val="00B87544"/>
    <w:rsid w:val="00B94F41"/>
    <w:rsid w:val="00BB74D5"/>
    <w:rsid w:val="00C13BEA"/>
    <w:rsid w:val="00C302FD"/>
    <w:rsid w:val="00C9140D"/>
    <w:rsid w:val="00CA0C7B"/>
    <w:rsid w:val="00CA247C"/>
    <w:rsid w:val="00CC4589"/>
    <w:rsid w:val="00CC5211"/>
    <w:rsid w:val="00CC770A"/>
    <w:rsid w:val="00CF2A60"/>
    <w:rsid w:val="00CF30DA"/>
    <w:rsid w:val="00CF346D"/>
    <w:rsid w:val="00D0398D"/>
    <w:rsid w:val="00D34303"/>
    <w:rsid w:val="00D423DE"/>
    <w:rsid w:val="00D660CF"/>
    <w:rsid w:val="00D67F84"/>
    <w:rsid w:val="00DB02C7"/>
    <w:rsid w:val="00DF4038"/>
    <w:rsid w:val="00E00DD7"/>
    <w:rsid w:val="00E063FD"/>
    <w:rsid w:val="00E178A3"/>
    <w:rsid w:val="00E65556"/>
    <w:rsid w:val="00E73067"/>
    <w:rsid w:val="00E76FE4"/>
    <w:rsid w:val="00E845ED"/>
    <w:rsid w:val="00EE008A"/>
    <w:rsid w:val="00EE09DB"/>
    <w:rsid w:val="00EF07DB"/>
    <w:rsid w:val="00F010E3"/>
    <w:rsid w:val="00F16E0D"/>
    <w:rsid w:val="00F304EA"/>
    <w:rsid w:val="00F84247"/>
    <w:rsid w:val="00F85A46"/>
    <w:rsid w:val="00FC4959"/>
    <w:rsid w:val="00FC574E"/>
    <w:rsid w:val="00FD34E0"/>
    <w:rsid w:val="00FD4180"/>
    <w:rsid w:val="00FE5CAD"/>
    <w:rsid w:val="00FF3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
    <w:basedOn w:val="Normal"/>
    <w:next w:val="Heading2"/>
    <w:link w:val="Heading1Char"/>
    <w:qFormat/>
    <w:rsid w:val="000303E1"/>
    <w:pPr>
      <w:keepNext/>
      <w:pageBreakBefore/>
      <w:numPr>
        <w:numId w:val="5"/>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0303E1"/>
    <w:pPr>
      <w:keepNext/>
      <w:numPr>
        <w:ilvl w:val="1"/>
        <w:numId w:val="5"/>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0303E1"/>
    <w:pPr>
      <w:keepNext/>
      <w:numPr>
        <w:ilvl w:val="2"/>
        <w:numId w:val="5"/>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0303E1"/>
    <w:pPr>
      <w:keepNext/>
      <w:numPr>
        <w:ilvl w:val="3"/>
        <w:numId w:val="5"/>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0303E1"/>
    <w:pPr>
      <w:numPr>
        <w:ilvl w:val="4"/>
      </w:numPr>
      <w:outlineLvl w:val="4"/>
    </w:pPr>
    <w:rPr>
      <w:bCs w:val="0"/>
      <w:iCs/>
      <w:szCs w:val="26"/>
    </w:rPr>
  </w:style>
  <w:style w:type="paragraph" w:styleId="Heading6">
    <w:name w:val="heading 6"/>
    <w:basedOn w:val="Heading2"/>
    <w:next w:val="23BodyText"/>
    <w:link w:val="Heading6Char"/>
    <w:qFormat/>
    <w:rsid w:val="000303E1"/>
    <w:pPr>
      <w:numPr>
        <w:ilvl w:val="5"/>
      </w:numPr>
      <w:outlineLvl w:val="5"/>
    </w:pPr>
    <w:rPr>
      <w:bCs w:val="0"/>
      <w:szCs w:val="22"/>
    </w:rPr>
  </w:style>
  <w:style w:type="paragraph" w:styleId="Heading7">
    <w:name w:val="heading 7"/>
    <w:basedOn w:val="Heading3"/>
    <w:next w:val="23BodyText"/>
    <w:link w:val="Heading7Char"/>
    <w:qFormat/>
    <w:rsid w:val="000303E1"/>
    <w:pPr>
      <w:numPr>
        <w:ilvl w:val="6"/>
      </w:numPr>
      <w:outlineLvl w:val="6"/>
    </w:pPr>
  </w:style>
  <w:style w:type="paragraph" w:styleId="Heading8">
    <w:name w:val="heading 8"/>
    <w:basedOn w:val="Heading4"/>
    <w:next w:val="23BodyText"/>
    <w:link w:val="Heading8Char"/>
    <w:qFormat/>
    <w:rsid w:val="000303E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paragraph" w:styleId="ListParagraph">
    <w:name w:val="List Paragraph"/>
    <w:basedOn w:val="Normal"/>
    <w:uiPriority w:val="34"/>
    <w:qFormat/>
    <w:rsid w:val="00D423DE"/>
    <w:pPr>
      <w:ind w:left="720"/>
      <w:contextualSpacing/>
    </w:pPr>
  </w:style>
  <w:style w:type="table" w:customStyle="1" w:styleId="TableGrid1">
    <w:name w:val="Table Grid1"/>
    <w:basedOn w:val="TableNormal"/>
    <w:uiPriority w:val="59"/>
    <w:rsid w:val="0052049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F2596"/>
    <w:rPr>
      <w:color w:val="800080" w:themeColor="followedHyperlink"/>
      <w:u w:val="single"/>
    </w:rPr>
  </w:style>
  <w:style w:type="character" w:customStyle="1" w:styleId="Heading1Char">
    <w:name w:val="Heading 1 Char"/>
    <w:aliases w:val="Chapter Title Char"/>
    <w:basedOn w:val="DefaultParagraphFont"/>
    <w:link w:val="Heading1"/>
    <w:rsid w:val="000303E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0303E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0303E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0303E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0303E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0303E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0303E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0303E1"/>
    <w:rPr>
      <w:rFonts w:ascii="Arial" w:eastAsia="LF_Kai" w:hAnsi="Arial" w:cs="Arial"/>
      <w:bCs/>
      <w:i/>
      <w:iCs/>
      <w:color w:val="000000"/>
      <w:sz w:val="20"/>
      <w:szCs w:val="28"/>
      <w:lang w:eastAsia="zh-CN" w:bidi="yi-Hebr"/>
    </w:rPr>
  </w:style>
  <w:style w:type="paragraph" w:styleId="FootnoteText">
    <w:name w:val="footnote text"/>
    <w:basedOn w:val="Normal"/>
    <w:link w:val="FootnoteTextChar"/>
    <w:semiHidden/>
    <w:unhideWhenUsed/>
    <w:rsid w:val="000303E1"/>
    <w:pPr>
      <w:spacing w:after="0" w:line="240" w:lineRule="auto"/>
    </w:pPr>
    <w:rPr>
      <w:sz w:val="20"/>
      <w:szCs w:val="20"/>
    </w:rPr>
  </w:style>
  <w:style w:type="character" w:customStyle="1" w:styleId="FootnoteTextChar">
    <w:name w:val="Footnote Text Char"/>
    <w:basedOn w:val="DefaultParagraphFont"/>
    <w:link w:val="FootnoteText"/>
    <w:semiHidden/>
    <w:rsid w:val="000303E1"/>
    <w:rPr>
      <w:sz w:val="20"/>
      <w:szCs w:val="20"/>
    </w:rPr>
  </w:style>
  <w:style w:type="character" w:styleId="FootnoteReference">
    <w:name w:val="footnote reference"/>
    <w:basedOn w:val="DefaultParagraphFont"/>
    <w:uiPriority w:val="99"/>
    <w:semiHidden/>
    <w:unhideWhenUsed/>
    <w:rsid w:val="000303E1"/>
    <w:rPr>
      <w:vertAlign w:val="superscript"/>
    </w:rPr>
  </w:style>
  <w:style w:type="paragraph" w:customStyle="1" w:styleId="23BodyText">
    <w:name w:val="23 Body Text"/>
    <w:basedOn w:val="Normal"/>
    <w:rsid w:val="000303E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0303E1"/>
    <w:pPr>
      <w:ind w:left="720" w:hanging="720"/>
      <w:contextualSpacing/>
    </w:pPr>
  </w:style>
  <w:style w:type="paragraph" w:customStyle="1" w:styleId="Default">
    <w:name w:val="Default"/>
    <w:basedOn w:val="Normal"/>
    <w:rsid w:val="00A83C8C"/>
    <w:pPr>
      <w:autoSpaceDE w:val="0"/>
      <w:autoSpaceDN w:val="0"/>
      <w:spacing w:after="0" w:line="240" w:lineRule="auto"/>
    </w:pPr>
    <w:rPr>
      <w:rFonts w:ascii="Arial" w:hAnsi="Arial" w:cs="Arial"/>
      <w:color w:val="000000"/>
      <w:sz w:val="24"/>
      <w:szCs w:val="24"/>
      <w:lang w:eastAsia="en-GB"/>
    </w:rPr>
  </w:style>
  <w:style w:type="character" w:styleId="UnresolvedMention">
    <w:name w:val="Unresolved Mention"/>
    <w:basedOn w:val="DefaultParagraphFont"/>
    <w:uiPriority w:val="99"/>
    <w:semiHidden/>
    <w:unhideWhenUsed/>
    <w:rsid w:val="00736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63576">
      <w:bodyDiv w:val="1"/>
      <w:marLeft w:val="0"/>
      <w:marRight w:val="0"/>
      <w:marTop w:val="0"/>
      <w:marBottom w:val="0"/>
      <w:divBdr>
        <w:top w:val="none" w:sz="0" w:space="0" w:color="auto"/>
        <w:left w:val="none" w:sz="0" w:space="0" w:color="auto"/>
        <w:bottom w:val="none" w:sz="0" w:space="0" w:color="auto"/>
        <w:right w:val="none" w:sz="0" w:space="0" w:color="auto"/>
      </w:divBdr>
    </w:div>
    <w:div w:id="549457525">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678464989">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 w:id="182677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jpmorgan.com/content/dam/jpm/global/disclosures/us/20201230-foexecution-pre-neg-order-best-execution-policy-final-december2020-app-3.pdf" TargetMode="External"/><Relationship Id="rId18" Type="http://schemas.openxmlformats.org/officeDocument/2006/relationships/hyperlink" Target="https://www.jpmorgan.com/directdoc/mifidii-appendix2-cash-equities-policy.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jpmorgan.com/content/dam/jpm/global/disclosures/us/20201230-main-execution-policy-dec-2020.pdf" TargetMode="External"/><Relationship Id="rId17" Type="http://schemas.openxmlformats.org/officeDocument/2006/relationships/hyperlink" Target="https://www.jpmorgan.com/content/dam/jpm/global/disclosures/us/20201230-main-execution-policy-dec-2020.pdf" TargetMode="External"/><Relationship Id="rId2" Type="http://schemas.openxmlformats.org/officeDocument/2006/relationships/customXml" Target="../customXml/item2.xml"/><Relationship Id="rId16" Type="http://schemas.openxmlformats.org/officeDocument/2006/relationships/hyperlink" Target="https://www.jpmorgan.com/content/dam/jpm/global/disclosures/us/new-appendix-4-emea-securities-services-execution-policy-dec-202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pmorgan.com/content/dam/jpm/global/disclosures/us/20201230-main-execution-policy-dec-2020.pdf" TargetMode="External"/><Relationship Id="rId5" Type="http://schemas.openxmlformats.org/officeDocument/2006/relationships/styles" Target="styles.xml"/><Relationship Id="rId15" Type="http://schemas.openxmlformats.org/officeDocument/2006/relationships/hyperlink" Target="https://www.jpmorgan.com/content/dam/jpm/global/disclosures/us/new-appendix-4-emea-securities-services-execution-policy-dec-2020.pdf" TargetMode="External"/><Relationship Id="rId10" Type="http://schemas.openxmlformats.org/officeDocument/2006/relationships/hyperlink" Target="https://www.jpmorgan.com/content/dam/jpm/global/disclosures/us/20201230-main-execution-policy-dec-2020.pdf"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pmorgan.com/content/dam/jpm/global/disclosures/us/20201230-main-execution-policy-dec-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42E5F0-789D-40D0-A769-1F9B72EF0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BAFC86-684F-4289-8E37-8005BCDFC760}">
  <ds:schemaRefs>
    <ds:schemaRef ds:uri="http://schemas.microsoft.com/office/2006/metadata/properties"/>
    <ds:schemaRef ds:uri="http://schemas.microsoft.com/office/infopath/2007/PartnerControls"/>
    <ds:schemaRef ds:uri="7d1f7825-6765-4743-817d-89ed4ea58d40"/>
  </ds:schemaRefs>
</ds:datastoreItem>
</file>

<file path=customXml/itemProps3.xml><?xml version="1.0" encoding="utf-8"?>
<ds:datastoreItem xmlns:ds="http://schemas.openxmlformats.org/officeDocument/2006/customXml" ds:itemID="{98331CCC-31BF-4867-A15D-12653058F1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2419</Words>
  <Characters>13791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v0.0.1</dc:creator>
  <cp:lastModifiedBy>Bright, Victoria (CIB OPS, GBR)</cp:lastModifiedBy>
  <cp:revision>10</cp:revision>
  <dcterms:created xsi:type="dcterms:W3CDTF">2021-04-16T08:38:00Z</dcterms:created>
  <dcterms:modified xsi:type="dcterms:W3CDTF">2021-04-28T13:02:00Z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