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205B85" w:rsidRPr="003C48D4" w14:paraId="0475E26C"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BD885F1" w14:textId="77777777" w:rsidR="00205B85" w:rsidRPr="003C48D4" w:rsidRDefault="00205B85" w:rsidP="006C3FC4">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C9753C7" w14:textId="77777777" w:rsidR="00205B85" w:rsidRPr="003C48D4" w:rsidRDefault="00205B85" w:rsidP="006C3FC4">
            <w:pPr>
              <w:rPr>
                <w:sz w:val="18"/>
                <w:szCs w:val="18"/>
              </w:rPr>
            </w:pPr>
            <w:r>
              <w:rPr>
                <w:sz w:val="18"/>
                <w:szCs w:val="18"/>
              </w:rPr>
              <w:t>J.P. Morgan Securities 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205B85" w:rsidRPr="003C48D4" w14:paraId="60B78BC3"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97BF6B7" w14:textId="77777777" w:rsidR="00205B85" w:rsidRPr="003C48D4" w:rsidRDefault="00205B85" w:rsidP="006C3FC4">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3B4AE22" w14:textId="77777777" w:rsidR="00205B85" w:rsidRDefault="00205B85" w:rsidP="006C3FC4">
            <w:pPr>
              <w:rPr>
                <w:sz w:val="18"/>
                <w:szCs w:val="18"/>
              </w:rPr>
            </w:pPr>
            <w:r>
              <w:rPr>
                <w:sz w:val="18"/>
                <w:szCs w:val="18"/>
              </w:rPr>
              <w:t xml:space="preserve">Exchange traded products (Exchange traded funds, exchange traded notes and exchange traded commodities)  </w:t>
            </w:r>
          </w:p>
          <w:p w14:paraId="25893E85" w14:textId="77777777" w:rsidR="00205B85" w:rsidRDefault="00205B85" w:rsidP="006C3FC4">
            <w:pPr>
              <w:rPr>
                <w:sz w:val="18"/>
                <w:szCs w:val="18"/>
              </w:rPr>
            </w:pPr>
            <w:r>
              <w:rPr>
                <w:sz w:val="18"/>
                <w:szCs w:val="18"/>
              </w:rPr>
              <w:t xml:space="preserve">Equities – Shares &amp; Depositary Receipts </w:t>
            </w:r>
          </w:p>
          <w:p w14:paraId="1D304AF0" w14:textId="77777777" w:rsidR="00205B85" w:rsidRPr="003C48D4" w:rsidRDefault="00205B85" w:rsidP="006C3FC4">
            <w:pPr>
              <w:rPr>
                <w:color w:val="0000FF"/>
                <w:sz w:val="18"/>
                <w:szCs w:val="18"/>
              </w:rPr>
            </w:pPr>
            <w:r>
              <w:rPr>
                <w:sz w:val="18"/>
                <w:szCs w:val="18"/>
              </w:rPr>
              <w:t xml:space="preserve">Other instruments </w:t>
            </w:r>
          </w:p>
        </w:tc>
      </w:tr>
      <w:tr w:rsidR="00205B85" w:rsidRPr="003C48D4" w14:paraId="625489A9"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C79A8FA" w14:textId="77777777" w:rsidR="00205B85" w:rsidRPr="003C48D4" w:rsidRDefault="00205B85" w:rsidP="006C3FC4">
            <w:pPr>
              <w:jc w:val="center"/>
              <w:rPr>
                <w:sz w:val="18"/>
                <w:szCs w:val="18"/>
              </w:rPr>
            </w:pPr>
            <w:r w:rsidRPr="003C48D4">
              <w:rPr>
                <w:sz w:val="18"/>
                <w:szCs w:val="18"/>
              </w:rPr>
              <w:t>Summary of Analysis</w:t>
            </w:r>
          </w:p>
        </w:tc>
      </w:tr>
      <w:tr w:rsidR="00205B85" w:rsidRPr="001F5347" w14:paraId="7E4EC983" w14:textId="77777777" w:rsidTr="006C3FC4">
        <w:tc>
          <w:tcPr>
            <w:tcW w:w="14400" w:type="dxa"/>
            <w:gridSpan w:val="2"/>
            <w:tcBorders>
              <w:left w:val="single" w:sz="12" w:space="0" w:color="auto"/>
              <w:right w:val="single" w:sz="12" w:space="0" w:color="auto"/>
            </w:tcBorders>
          </w:tcPr>
          <w:p w14:paraId="6032088F" w14:textId="16CF5AB5" w:rsidR="00205B85" w:rsidRPr="00316B73" w:rsidRDefault="00205B85" w:rsidP="006C3FC4">
            <w:pPr>
              <w:rPr>
                <w:color w:val="000000" w:themeColor="text1"/>
                <w:sz w:val="18"/>
                <w:szCs w:val="18"/>
              </w:rPr>
            </w:pPr>
            <w:r w:rsidRPr="00316B73">
              <w:rPr>
                <w:color w:val="000000" w:themeColor="text1"/>
                <w:sz w:val="18"/>
                <w:szCs w:val="18"/>
              </w:rPr>
              <w:t xml:space="preserve">The majority of client business placed with other firms for </w:t>
            </w:r>
            <w:r w:rsidR="008A2E74">
              <w:rPr>
                <w:color w:val="000000" w:themeColor="text1"/>
                <w:sz w:val="18"/>
                <w:szCs w:val="18"/>
              </w:rPr>
              <w:t>execution</w:t>
            </w:r>
            <w:r w:rsidRPr="00316B73">
              <w:rPr>
                <w:color w:val="000000" w:themeColor="text1"/>
                <w:sz w:val="18"/>
                <w:szCs w:val="18"/>
              </w:rPr>
              <w:t xml:space="preserve"> by J.P. Morgan Securities plc, related to orders transmitted to other regional J.P. Morgan entities (affiliates) for the purposes of providing access to those markets.  Note that we have classified this business as “directed” on the basis that clients placing business with J.P. Morgan Securities plc have a reasonable expectation that it will be executed either directly by J.P. Morgan Securities plc, or by an affiliate, where possible.</w:t>
            </w:r>
          </w:p>
          <w:p w14:paraId="7A7F52ED" w14:textId="77777777" w:rsidR="00205B85" w:rsidRPr="00316B73" w:rsidRDefault="00205B85" w:rsidP="006C3FC4">
            <w:pPr>
              <w:rPr>
                <w:color w:val="000000" w:themeColor="text1"/>
                <w:sz w:val="18"/>
                <w:szCs w:val="18"/>
              </w:rPr>
            </w:pPr>
          </w:p>
          <w:p w14:paraId="019D4D68" w14:textId="77777777" w:rsidR="00205B85" w:rsidRPr="001F5347" w:rsidRDefault="00205B85" w:rsidP="006C3FC4">
            <w:pPr>
              <w:rPr>
                <w:color w:val="000000" w:themeColor="text1"/>
                <w:sz w:val="18"/>
                <w:szCs w:val="18"/>
              </w:rPr>
            </w:pPr>
            <w:r w:rsidRPr="00316B73">
              <w:rPr>
                <w:color w:val="000000" w:themeColor="text1"/>
                <w:sz w:val="18"/>
                <w:szCs w:val="18"/>
              </w:rPr>
              <w:t>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w:t>
            </w:r>
            <w:r w:rsidRPr="00316B73">
              <w:rPr>
                <w:color w:val="000000" w:themeColor="text1"/>
                <w:sz w:val="18"/>
                <w:szCs w:val="18"/>
                <w:bdr w:val="single" w:sz="4" w:space="0" w:color="auto"/>
              </w:rPr>
              <w:t xml:space="preserve"> </w:t>
            </w:r>
            <w:r w:rsidRPr="00316B73">
              <w:rPr>
                <w:color w:val="000000" w:themeColor="text1"/>
                <w:sz w:val="18"/>
                <w:szCs w:val="18"/>
              </w:rPr>
              <w:t>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0AAF3346" w14:textId="77777777" w:rsidR="00205B85" w:rsidRPr="001F5347" w:rsidRDefault="00205B85" w:rsidP="006C3FC4">
            <w:pPr>
              <w:rPr>
                <w:color w:val="000000" w:themeColor="text1"/>
                <w:sz w:val="18"/>
                <w:szCs w:val="18"/>
              </w:rPr>
            </w:pPr>
          </w:p>
        </w:tc>
      </w:tr>
      <w:tr w:rsidR="00205B85" w:rsidRPr="001F5347" w14:paraId="282C6FC0" w14:textId="77777777" w:rsidTr="006C3FC4">
        <w:tc>
          <w:tcPr>
            <w:tcW w:w="4410" w:type="dxa"/>
            <w:tcBorders>
              <w:left w:val="single" w:sz="12" w:space="0" w:color="auto"/>
            </w:tcBorders>
            <w:shd w:val="clear" w:color="auto" w:fill="D9D9D9" w:themeFill="background1" w:themeFillShade="D9"/>
          </w:tcPr>
          <w:p w14:paraId="2F959E10" w14:textId="77777777" w:rsidR="00205B85" w:rsidRPr="001F5347" w:rsidRDefault="00205B85" w:rsidP="006C3FC4">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19DDAA99" w14:textId="020B59DA" w:rsidR="00205B85" w:rsidRPr="001F5347" w:rsidRDefault="00205B85" w:rsidP="006C3FC4">
            <w:pPr>
              <w:spacing w:after="120"/>
              <w:rPr>
                <w:color w:val="000000" w:themeColor="text1"/>
                <w:sz w:val="18"/>
                <w:szCs w:val="18"/>
              </w:rPr>
            </w:pPr>
            <w:r w:rsidRPr="001F5347">
              <w:rPr>
                <w:color w:val="000000" w:themeColor="text1"/>
                <w:sz w:val="18"/>
                <w:szCs w:val="18"/>
              </w:rPr>
              <w:t>Where possible, we use affiliat</w:t>
            </w:r>
            <w:r w:rsidR="008A2E74">
              <w:rPr>
                <w:color w:val="000000" w:themeColor="text1"/>
                <w:sz w:val="18"/>
                <w:szCs w:val="18"/>
              </w:rPr>
              <w:t xml:space="preserve">es  when executing business in </w:t>
            </w:r>
            <w:r w:rsidRPr="001F5347">
              <w:rPr>
                <w:color w:val="000000" w:themeColor="text1"/>
                <w:sz w:val="18"/>
                <w:szCs w:val="18"/>
              </w:rPr>
              <w:t xml:space="preserve">regions </w:t>
            </w:r>
            <w:r w:rsidR="008A2E74">
              <w:rPr>
                <w:color w:val="000000" w:themeColor="text1"/>
                <w:sz w:val="18"/>
                <w:szCs w:val="18"/>
              </w:rPr>
              <w:t>in</w:t>
            </w:r>
            <w:r w:rsidRPr="001F5347">
              <w:rPr>
                <w:color w:val="000000" w:themeColor="text1"/>
                <w:sz w:val="18"/>
                <w:szCs w:val="18"/>
              </w:rPr>
              <w:t xml:space="preserve"> which </w:t>
            </w:r>
            <w:r>
              <w:rPr>
                <w:color w:val="000000" w:themeColor="text1"/>
                <w:sz w:val="18"/>
                <w:szCs w:val="18"/>
              </w:rPr>
              <w:t>J.P. Morgan Securities plc</w:t>
            </w:r>
            <w:r w:rsidRPr="001F5347">
              <w:rPr>
                <w:color w:val="000000" w:themeColor="text1"/>
                <w:sz w:val="18"/>
                <w:szCs w:val="18"/>
              </w:rPr>
              <w:t xml:space="preserve"> does not have access, because we believe, that in doing so, we retain the following benefits for our clients: </w:t>
            </w:r>
          </w:p>
          <w:p w14:paraId="67E680CD" w14:textId="77777777" w:rsidR="00205B85" w:rsidRPr="001F5347" w:rsidRDefault="00205B85" w:rsidP="006C3FC4">
            <w:pPr>
              <w:pStyle w:val="ListParagraph"/>
              <w:numPr>
                <w:ilvl w:val="0"/>
                <w:numId w:val="2"/>
              </w:numPr>
              <w:spacing w:after="120"/>
              <w:rPr>
                <w:color w:val="000000" w:themeColor="text1"/>
                <w:sz w:val="18"/>
                <w:szCs w:val="18"/>
              </w:rPr>
            </w:pPr>
            <w:r w:rsidRPr="001F5347">
              <w:rPr>
                <w:color w:val="000000" w:themeColor="text1"/>
                <w:sz w:val="18"/>
                <w:szCs w:val="18"/>
              </w:rPr>
              <w:t>consistency of order handling practices</w:t>
            </w:r>
          </w:p>
          <w:p w14:paraId="10E834C8" w14:textId="77777777" w:rsidR="00205B85" w:rsidRPr="001F5347" w:rsidRDefault="00205B85" w:rsidP="006C3FC4">
            <w:pPr>
              <w:pStyle w:val="ListParagraph"/>
              <w:numPr>
                <w:ilvl w:val="0"/>
                <w:numId w:val="2"/>
              </w:numPr>
              <w:spacing w:after="120"/>
              <w:rPr>
                <w:color w:val="000000" w:themeColor="text1"/>
                <w:sz w:val="18"/>
                <w:szCs w:val="18"/>
              </w:rPr>
            </w:pPr>
            <w:r w:rsidRPr="001F5347">
              <w:rPr>
                <w:color w:val="000000" w:themeColor="text1"/>
                <w:sz w:val="18"/>
                <w:szCs w:val="18"/>
              </w:rPr>
              <w:t>integrated governance and oversight of processes</w:t>
            </w:r>
          </w:p>
          <w:p w14:paraId="373D9D3F" w14:textId="77777777" w:rsidR="00205B85" w:rsidRPr="001F5347" w:rsidRDefault="00205B85" w:rsidP="006C3FC4">
            <w:pPr>
              <w:pStyle w:val="ListParagraph"/>
              <w:numPr>
                <w:ilvl w:val="0"/>
                <w:numId w:val="1"/>
              </w:numPr>
              <w:spacing w:after="120"/>
              <w:rPr>
                <w:color w:val="000000" w:themeColor="text1"/>
                <w:sz w:val="18"/>
                <w:szCs w:val="18"/>
              </w:rPr>
            </w:pPr>
            <w:r w:rsidRPr="001F5347">
              <w:rPr>
                <w:color w:val="000000" w:themeColor="text1"/>
                <w:sz w:val="18"/>
                <w:szCs w:val="18"/>
              </w:rPr>
              <w:t>local market knowledge, market access and execution expertise and;</w:t>
            </w:r>
          </w:p>
          <w:p w14:paraId="51C64364" w14:textId="77777777" w:rsidR="00205B85" w:rsidRPr="001F5347" w:rsidRDefault="00205B85" w:rsidP="006C3FC4">
            <w:pPr>
              <w:pStyle w:val="ListParagraph"/>
              <w:numPr>
                <w:ilvl w:val="0"/>
                <w:numId w:val="1"/>
              </w:numPr>
              <w:spacing w:after="120"/>
              <w:rPr>
                <w:color w:val="000000" w:themeColor="text1"/>
                <w:sz w:val="18"/>
                <w:szCs w:val="18"/>
              </w:rPr>
            </w:pPr>
            <w:r w:rsidRPr="001F5347">
              <w:rPr>
                <w:color w:val="000000" w:themeColor="text1"/>
                <w:sz w:val="18"/>
                <w:szCs w:val="18"/>
              </w:rPr>
              <w:t>integrated chain of execution</w:t>
            </w:r>
          </w:p>
          <w:p w14:paraId="3E143470" w14:textId="08D07F19" w:rsidR="00205B85" w:rsidRPr="001F5347" w:rsidRDefault="00205B85" w:rsidP="008A2E74">
            <w:pPr>
              <w:spacing w:after="120"/>
              <w:rPr>
                <w:color w:val="000000" w:themeColor="text1"/>
                <w:sz w:val="18"/>
                <w:szCs w:val="18"/>
              </w:rPr>
            </w:pPr>
            <w:r w:rsidRPr="001F5347">
              <w:rPr>
                <w:color w:val="000000" w:themeColor="text1"/>
                <w:sz w:val="18"/>
                <w:szCs w:val="18"/>
              </w:rPr>
              <w:t xml:space="preserve">Whilst our affiliates operate in different regulatory jurisdictions, we expect them to take a similar (but not necessarily equivalent) approach to their treatment of the execution factors (such as price, and speed) that affect </w:t>
            </w:r>
            <w:r w:rsidR="008A2E74">
              <w:rPr>
                <w:color w:val="000000" w:themeColor="text1"/>
                <w:sz w:val="18"/>
                <w:szCs w:val="18"/>
              </w:rPr>
              <w:t xml:space="preserve">the </w:t>
            </w:r>
            <w:r w:rsidRPr="001F5347">
              <w:rPr>
                <w:color w:val="000000" w:themeColor="text1"/>
                <w:sz w:val="18"/>
                <w:szCs w:val="18"/>
              </w:rPr>
              <w:t>overall quality of execution.</w:t>
            </w:r>
          </w:p>
        </w:tc>
      </w:tr>
      <w:tr w:rsidR="00205B85" w:rsidRPr="001F5347" w14:paraId="32CB1699" w14:textId="77777777" w:rsidTr="006C3FC4">
        <w:tc>
          <w:tcPr>
            <w:tcW w:w="4410" w:type="dxa"/>
            <w:tcBorders>
              <w:left w:val="single" w:sz="12" w:space="0" w:color="auto"/>
            </w:tcBorders>
            <w:shd w:val="clear" w:color="auto" w:fill="D9D9D9" w:themeFill="background1" w:themeFillShade="D9"/>
          </w:tcPr>
          <w:p w14:paraId="4BC7E208" w14:textId="77777777" w:rsidR="00205B85" w:rsidRPr="001F5347" w:rsidRDefault="00205B85" w:rsidP="006C3FC4">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4E37191C" w14:textId="1F9FE346" w:rsidR="00205B85" w:rsidRPr="001F5347" w:rsidRDefault="00205B85" w:rsidP="008A2E74">
            <w:pPr>
              <w:spacing w:after="120"/>
              <w:rPr>
                <w:color w:val="000000" w:themeColor="text1"/>
                <w:sz w:val="18"/>
                <w:szCs w:val="18"/>
              </w:rPr>
            </w:pPr>
            <w:r w:rsidRPr="001F5347">
              <w:rPr>
                <w:color w:val="000000" w:themeColor="text1"/>
                <w:sz w:val="18"/>
                <w:szCs w:val="18"/>
              </w:rPr>
              <w:t xml:space="preserve">The affiliates used for the majority of cross-regional execution are all owned by </w:t>
            </w:r>
            <w:r w:rsidRPr="00506291">
              <w:rPr>
                <w:rFonts w:cstheme="minorHAnsi"/>
                <w:color w:val="000000" w:themeColor="text1"/>
                <w:sz w:val="18"/>
                <w:szCs w:val="18"/>
              </w:rPr>
              <w:t xml:space="preserve">JPMorgan </w:t>
            </w:r>
            <w:bookmarkStart w:id="0" w:name="_GoBack"/>
            <w:r w:rsidRPr="00506291">
              <w:rPr>
                <w:rFonts w:cstheme="minorHAnsi"/>
                <w:color w:val="000000" w:themeColor="text1"/>
                <w:sz w:val="18"/>
                <w:szCs w:val="18"/>
              </w:rPr>
              <w:t>Chase</w:t>
            </w:r>
            <w:bookmarkEnd w:id="0"/>
            <w:r w:rsidRPr="00506291">
              <w:rPr>
                <w:rFonts w:cstheme="minorHAnsi"/>
                <w:color w:val="000000" w:themeColor="text1"/>
                <w:sz w:val="18"/>
                <w:szCs w:val="18"/>
              </w:rPr>
              <w:t xml:space="preserve"> &amp; Co. </w:t>
            </w:r>
            <w:r w:rsidRPr="001F5347">
              <w:rPr>
                <w:color w:val="000000" w:themeColor="text1"/>
                <w:sz w:val="18"/>
                <w:szCs w:val="18"/>
              </w:rPr>
              <w:t xml:space="preserve">and are expected to co-operate closely to meet the objectives of the firm and its clients. </w:t>
            </w:r>
          </w:p>
        </w:tc>
      </w:tr>
      <w:tr w:rsidR="00205B85" w:rsidRPr="001F5347" w14:paraId="14F8AC7A" w14:textId="77777777" w:rsidTr="006C3FC4">
        <w:tc>
          <w:tcPr>
            <w:tcW w:w="4410" w:type="dxa"/>
            <w:tcBorders>
              <w:left w:val="single" w:sz="12" w:space="0" w:color="auto"/>
            </w:tcBorders>
            <w:shd w:val="clear" w:color="auto" w:fill="D9D9D9" w:themeFill="background1" w:themeFillShade="D9"/>
          </w:tcPr>
          <w:p w14:paraId="342EB3BD" w14:textId="77777777" w:rsidR="00205B85" w:rsidRPr="001F5347" w:rsidRDefault="00205B85" w:rsidP="006C3FC4">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7EB2306C" w14:textId="77777777" w:rsidR="00205B85" w:rsidRPr="001F5347" w:rsidRDefault="00205B85" w:rsidP="006C3FC4">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205B85" w:rsidRPr="001F5347" w14:paraId="510CC5F5" w14:textId="77777777" w:rsidTr="006C3FC4">
        <w:tc>
          <w:tcPr>
            <w:tcW w:w="4410" w:type="dxa"/>
            <w:tcBorders>
              <w:left w:val="single" w:sz="12" w:space="0" w:color="auto"/>
            </w:tcBorders>
            <w:shd w:val="clear" w:color="auto" w:fill="D9D9D9" w:themeFill="background1" w:themeFillShade="D9"/>
          </w:tcPr>
          <w:p w14:paraId="22FD86EF" w14:textId="77777777" w:rsidR="00205B85" w:rsidRPr="001F5347" w:rsidRDefault="00205B85" w:rsidP="006C3FC4">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732E44A8" w14:textId="77777777" w:rsidR="00205B85" w:rsidRPr="001F5347" w:rsidRDefault="00205B85" w:rsidP="006C3FC4">
            <w:pPr>
              <w:spacing w:after="120"/>
              <w:rPr>
                <w:color w:val="000000" w:themeColor="text1"/>
                <w:sz w:val="18"/>
                <w:szCs w:val="18"/>
              </w:rPr>
            </w:pPr>
            <w:r>
              <w:rPr>
                <w:color w:val="000000" w:themeColor="text1"/>
                <w:sz w:val="18"/>
                <w:szCs w:val="18"/>
              </w:rPr>
              <w:t>Not Applicable</w:t>
            </w:r>
          </w:p>
        </w:tc>
      </w:tr>
      <w:tr w:rsidR="00205B85" w:rsidRPr="001F5347" w14:paraId="2D9CE202" w14:textId="77777777" w:rsidTr="006C3FC4">
        <w:tc>
          <w:tcPr>
            <w:tcW w:w="4410" w:type="dxa"/>
            <w:tcBorders>
              <w:left w:val="single" w:sz="12" w:space="0" w:color="auto"/>
            </w:tcBorders>
            <w:shd w:val="clear" w:color="auto" w:fill="D9D9D9" w:themeFill="background1" w:themeFillShade="D9"/>
          </w:tcPr>
          <w:p w14:paraId="72133B9E" w14:textId="77777777" w:rsidR="00205B85" w:rsidRPr="001F5347" w:rsidRDefault="00205B85" w:rsidP="006C3FC4">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66E300A7" w14:textId="77777777" w:rsidR="00205B85" w:rsidRPr="001F5347" w:rsidRDefault="00205B85" w:rsidP="006C3FC4">
            <w:pPr>
              <w:spacing w:after="120"/>
              <w:rPr>
                <w:color w:val="000000" w:themeColor="text1"/>
                <w:sz w:val="18"/>
                <w:szCs w:val="18"/>
              </w:rPr>
            </w:pPr>
            <w:r w:rsidRPr="001F5347">
              <w:rPr>
                <w:color w:val="000000" w:themeColor="text1"/>
                <w:sz w:val="18"/>
                <w:szCs w:val="18"/>
              </w:rPr>
              <w:t>Our arrangements do not differ by client categorisation.</w:t>
            </w:r>
          </w:p>
        </w:tc>
      </w:tr>
      <w:tr w:rsidR="00205B85" w:rsidRPr="006C74EF" w14:paraId="2EBF7245" w14:textId="77777777" w:rsidTr="006C3FC4">
        <w:tc>
          <w:tcPr>
            <w:tcW w:w="4410" w:type="dxa"/>
            <w:tcBorders>
              <w:left w:val="single" w:sz="12" w:space="0" w:color="auto"/>
            </w:tcBorders>
            <w:shd w:val="clear" w:color="auto" w:fill="D9D9D9" w:themeFill="background1" w:themeFillShade="D9"/>
          </w:tcPr>
          <w:p w14:paraId="76972A4F" w14:textId="77777777" w:rsidR="00205B85" w:rsidRPr="001F5347" w:rsidRDefault="00205B85" w:rsidP="006C3FC4">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203F12C2" w14:textId="77777777" w:rsidR="00205B85" w:rsidRPr="006C74EF" w:rsidRDefault="00205B85" w:rsidP="006C3FC4">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205B85" w:rsidRPr="00CF3F2E" w14:paraId="7303E83B" w14:textId="77777777" w:rsidTr="006C3FC4">
        <w:tc>
          <w:tcPr>
            <w:tcW w:w="4410" w:type="dxa"/>
            <w:tcBorders>
              <w:left w:val="single" w:sz="12" w:space="0" w:color="auto"/>
            </w:tcBorders>
            <w:shd w:val="clear" w:color="auto" w:fill="D9D9D9" w:themeFill="background1" w:themeFillShade="D9"/>
          </w:tcPr>
          <w:p w14:paraId="018F9A16" w14:textId="77777777" w:rsidR="00205B85" w:rsidRPr="001F5347" w:rsidRDefault="00205B85" w:rsidP="006C3FC4">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7D16E95F" w14:textId="77777777" w:rsidR="00205B85" w:rsidRPr="00CF3F2E" w:rsidRDefault="00205B85" w:rsidP="006C3FC4">
            <w:pPr>
              <w:spacing w:after="120"/>
              <w:rPr>
                <w:i/>
                <w:color w:val="000000" w:themeColor="text1"/>
                <w:sz w:val="18"/>
                <w:szCs w:val="18"/>
              </w:rPr>
            </w:pPr>
            <w:r>
              <w:rPr>
                <w:color w:val="000000" w:themeColor="text1"/>
                <w:sz w:val="18"/>
                <w:szCs w:val="18"/>
              </w:rPr>
              <w:t>Not Applicable</w:t>
            </w:r>
          </w:p>
        </w:tc>
      </w:tr>
    </w:tbl>
    <w:p w14:paraId="202CA31F" w14:textId="30BA70ED" w:rsidR="00205B85" w:rsidRDefault="00205B85" w:rsidP="0095612A"/>
    <w:p w14:paraId="7B8AF043" w14:textId="77777777" w:rsidR="00205B85" w:rsidRDefault="00205B85">
      <w:r>
        <w:br w:type="page"/>
      </w:r>
    </w:p>
    <w:p w14:paraId="785968CE" w14:textId="77777777" w:rsidR="0043535A" w:rsidRDefault="0043535A">
      <w:pPr>
        <w:rPr>
          <w:color w:val="FF0000"/>
        </w:rPr>
      </w:pPr>
    </w:p>
    <w:tbl>
      <w:tblPr>
        <w:tblStyle w:val="TableGrid"/>
        <w:tblW w:w="14400" w:type="dxa"/>
        <w:tblInd w:w="468" w:type="dxa"/>
        <w:tblLook w:val="04A0" w:firstRow="1" w:lastRow="0" w:firstColumn="1" w:lastColumn="0" w:noHBand="0" w:noVBand="1"/>
      </w:tblPr>
      <w:tblGrid>
        <w:gridCol w:w="4410"/>
        <w:gridCol w:w="9990"/>
      </w:tblGrid>
      <w:tr w:rsidR="00A3327B" w:rsidRPr="00446E6D" w14:paraId="27C5C910" w14:textId="77777777" w:rsidTr="00D23B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0FBCC81" w14:textId="77777777" w:rsidR="00A3327B" w:rsidRPr="00446E6D" w:rsidRDefault="00A3327B" w:rsidP="00D23BB9">
            <w:pPr>
              <w:rPr>
                <w:color w:val="000000" w:themeColor="text1"/>
                <w:sz w:val="18"/>
                <w:szCs w:val="18"/>
              </w:rPr>
            </w:pPr>
            <w:r w:rsidRPr="00446E6D">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6E12E9B" w14:textId="77777777" w:rsidR="00A3327B" w:rsidRPr="00446E6D" w:rsidRDefault="00A3327B" w:rsidP="00D23BB9">
            <w:pPr>
              <w:rPr>
                <w:color w:val="000000" w:themeColor="text1"/>
                <w:sz w:val="18"/>
                <w:szCs w:val="18"/>
              </w:rPr>
            </w:pPr>
            <w:r w:rsidRPr="00446E6D">
              <w:rPr>
                <w:color w:val="000000" w:themeColor="text1"/>
                <w:sz w:val="18"/>
                <w:szCs w:val="18"/>
              </w:rPr>
              <w:t>J.P. Morgan Securities plc (</w:t>
            </w:r>
            <w:r w:rsidRPr="00446E6D">
              <w:rPr>
                <w:rFonts w:hint="eastAsia"/>
                <w:color w:val="000000" w:themeColor="text1"/>
                <w:sz w:val="18"/>
                <w:szCs w:val="18"/>
              </w:rPr>
              <w:t>K6Q0W1PS1L1O4IQL9C32</w:t>
            </w:r>
            <w:r w:rsidRPr="00446E6D">
              <w:rPr>
                <w:color w:val="000000" w:themeColor="text1"/>
                <w:sz w:val="18"/>
                <w:szCs w:val="18"/>
              </w:rPr>
              <w:t>)</w:t>
            </w:r>
          </w:p>
        </w:tc>
      </w:tr>
      <w:tr w:rsidR="00A3327B" w:rsidRPr="00446E6D" w14:paraId="18775371" w14:textId="77777777" w:rsidTr="00D23B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9BF3759" w14:textId="77777777" w:rsidR="00A3327B" w:rsidRPr="00446E6D" w:rsidRDefault="00A3327B" w:rsidP="00D23BB9">
            <w:pPr>
              <w:rPr>
                <w:color w:val="000000" w:themeColor="text1"/>
                <w:sz w:val="18"/>
                <w:szCs w:val="18"/>
              </w:rPr>
            </w:pPr>
            <w:r w:rsidRPr="00446E6D">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7BB534B" w14:textId="77777777" w:rsidR="00A3327B" w:rsidRPr="00446E6D" w:rsidRDefault="00A3327B" w:rsidP="00D23BB9">
            <w:pPr>
              <w:rPr>
                <w:color w:val="000000" w:themeColor="text1"/>
                <w:sz w:val="18"/>
                <w:szCs w:val="18"/>
              </w:rPr>
            </w:pPr>
            <w:r w:rsidRPr="00446E6D">
              <w:rPr>
                <w:color w:val="000000" w:themeColor="text1"/>
                <w:sz w:val="18"/>
                <w:szCs w:val="18"/>
              </w:rPr>
              <w:t xml:space="preserve">Futures and Options admitted to trading on a trading venue (All RTS 28 </w:t>
            </w:r>
            <w:r>
              <w:rPr>
                <w:color w:val="000000" w:themeColor="text1"/>
                <w:sz w:val="18"/>
                <w:szCs w:val="18"/>
              </w:rPr>
              <w:t>Classes of Instrument listed below</w:t>
            </w:r>
            <w:r w:rsidRPr="00446E6D">
              <w:rPr>
                <w:color w:val="000000" w:themeColor="text1"/>
                <w:sz w:val="18"/>
                <w:szCs w:val="18"/>
              </w:rPr>
              <w:t>)</w:t>
            </w:r>
          </w:p>
        </w:tc>
      </w:tr>
      <w:tr w:rsidR="00A3327B" w:rsidRPr="00446E6D" w14:paraId="19186CFD" w14:textId="77777777" w:rsidTr="00D23B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4C8DECF" w14:textId="77777777" w:rsidR="00A3327B" w:rsidRPr="00446E6D" w:rsidRDefault="00A3327B" w:rsidP="00D23BB9">
            <w:pPr>
              <w:jc w:val="center"/>
              <w:rPr>
                <w:color w:val="000000" w:themeColor="text1"/>
                <w:sz w:val="18"/>
                <w:szCs w:val="18"/>
              </w:rPr>
            </w:pPr>
            <w:r w:rsidRPr="00446E6D">
              <w:rPr>
                <w:color w:val="000000" w:themeColor="text1"/>
                <w:sz w:val="18"/>
                <w:szCs w:val="18"/>
              </w:rPr>
              <w:t>Summary of Analysis</w:t>
            </w:r>
          </w:p>
        </w:tc>
      </w:tr>
      <w:tr w:rsidR="00A3327B" w:rsidRPr="00446E6D" w14:paraId="077AD3CB" w14:textId="77777777" w:rsidTr="00D23BB9">
        <w:tc>
          <w:tcPr>
            <w:tcW w:w="14400" w:type="dxa"/>
            <w:gridSpan w:val="2"/>
            <w:tcBorders>
              <w:left w:val="single" w:sz="12" w:space="0" w:color="auto"/>
              <w:right w:val="single" w:sz="12" w:space="0" w:color="auto"/>
            </w:tcBorders>
          </w:tcPr>
          <w:p w14:paraId="5919EBD1" w14:textId="4CEAAFEF" w:rsidR="00A3327B" w:rsidRDefault="00A3327B" w:rsidP="00D23BB9">
            <w:pPr>
              <w:rPr>
                <w:rFonts w:cs="Arial"/>
                <w:color w:val="000000" w:themeColor="text1"/>
                <w:sz w:val="18"/>
                <w:szCs w:val="18"/>
              </w:rPr>
            </w:pPr>
            <w:r w:rsidRPr="00446E6D">
              <w:rPr>
                <w:rFonts w:cs="Arial"/>
                <w:color w:val="000000" w:themeColor="text1"/>
                <w:sz w:val="18"/>
                <w:szCs w:val="18"/>
              </w:rPr>
              <w:t xml:space="preserve">J.P. Morgan Securities </w:t>
            </w:r>
            <w:r>
              <w:rPr>
                <w:rFonts w:cs="Arial"/>
                <w:color w:val="000000" w:themeColor="text1"/>
                <w:sz w:val="18"/>
                <w:szCs w:val="18"/>
              </w:rPr>
              <w:t>plc</w:t>
            </w:r>
            <w:r w:rsidRPr="00446E6D">
              <w:rPr>
                <w:rFonts w:cs="Arial"/>
                <w:color w:val="000000" w:themeColor="text1"/>
                <w:sz w:val="18"/>
                <w:szCs w:val="18"/>
              </w:rPr>
              <w:t xml:space="preserve">’s </w:t>
            </w:r>
            <w:r w:rsidRPr="00446E6D">
              <w:rPr>
                <w:color w:val="000000" w:themeColor="text1"/>
                <w:sz w:val="18"/>
                <w:szCs w:val="18"/>
              </w:rPr>
              <w:t>Futures and Options admitted to trading on a trading venue</w:t>
            </w:r>
            <w:r w:rsidRPr="00446E6D">
              <w:rPr>
                <w:rFonts w:cs="Arial"/>
                <w:color w:val="000000" w:themeColor="text1"/>
                <w:sz w:val="18"/>
                <w:szCs w:val="18"/>
              </w:rPr>
              <w:t xml:space="preserve"> </w:t>
            </w:r>
            <w:r>
              <w:rPr>
                <w:rFonts w:cs="Arial"/>
                <w:color w:val="000000" w:themeColor="text1"/>
                <w:sz w:val="18"/>
                <w:szCs w:val="18"/>
              </w:rPr>
              <w:t>“</w:t>
            </w:r>
            <w:r w:rsidRPr="00446E6D">
              <w:rPr>
                <w:rFonts w:cs="Arial"/>
                <w:color w:val="000000" w:themeColor="text1"/>
                <w:sz w:val="18"/>
                <w:szCs w:val="18"/>
              </w:rPr>
              <w:t>top five</w:t>
            </w:r>
            <w:r>
              <w:rPr>
                <w:rFonts w:cs="Arial"/>
                <w:color w:val="000000" w:themeColor="text1"/>
                <w:sz w:val="18"/>
                <w:szCs w:val="18"/>
              </w:rPr>
              <w:t>”</w:t>
            </w:r>
            <w:r w:rsidRPr="00446E6D">
              <w:rPr>
                <w:rFonts w:cs="Arial"/>
                <w:color w:val="000000" w:themeColor="text1"/>
                <w:sz w:val="18"/>
                <w:szCs w:val="18"/>
              </w:rPr>
              <w:t xml:space="preserve"> execution venue report includes information </w:t>
            </w:r>
            <w:r>
              <w:rPr>
                <w:rFonts w:cs="Arial"/>
                <w:color w:val="000000" w:themeColor="text1"/>
                <w:sz w:val="18"/>
                <w:szCs w:val="18"/>
              </w:rPr>
              <w:t>relating to the following Classes of Instruments</w:t>
            </w:r>
            <w:r w:rsidR="008A2E74">
              <w:rPr>
                <w:rFonts w:cs="Arial"/>
                <w:color w:val="000000" w:themeColor="text1"/>
                <w:sz w:val="18"/>
                <w:szCs w:val="18"/>
              </w:rPr>
              <w:t>, per the RTS 28 instrument taxonomy</w:t>
            </w:r>
            <w:r w:rsidRPr="00446E6D">
              <w:rPr>
                <w:rFonts w:cs="Arial"/>
                <w:color w:val="000000" w:themeColor="text1"/>
                <w:sz w:val="18"/>
                <w:szCs w:val="18"/>
              </w:rPr>
              <w:t>:</w:t>
            </w:r>
          </w:p>
          <w:p w14:paraId="52789CD2" w14:textId="77777777" w:rsidR="00A3327B" w:rsidRPr="00446E6D" w:rsidRDefault="00A3327B" w:rsidP="00D23BB9">
            <w:pPr>
              <w:rPr>
                <w:rFonts w:cs="Arial"/>
                <w:color w:val="000000" w:themeColor="text1"/>
                <w:sz w:val="18"/>
                <w:szCs w:val="18"/>
              </w:rPr>
            </w:pPr>
          </w:p>
          <w:p w14:paraId="782513B4" w14:textId="46421398" w:rsidR="00A3327B" w:rsidRPr="00446E6D" w:rsidRDefault="00A3327B" w:rsidP="00A3327B">
            <w:pPr>
              <w:pStyle w:val="ListParagraph"/>
              <w:numPr>
                <w:ilvl w:val="0"/>
                <w:numId w:val="3"/>
              </w:numPr>
              <w:contextualSpacing w:val="0"/>
              <w:rPr>
                <w:rFonts w:cs="Arial"/>
                <w:color w:val="000000" w:themeColor="text1"/>
                <w:sz w:val="18"/>
                <w:szCs w:val="18"/>
              </w:rPr>
            </w:pPr>
            <w:r w:rsidRPr="00446E6D">
              <w:rPr>
                <w:rFonts w:cs="Arial"/>
                <w:color w:val="000000" w:themeColor="text1"/>
                <w:sz w:val="18"/>
                <w:szCs w:val="18"/>
              </w:rPr>
              <w:t xml:space="preserve">Commodities Derivatives And </w:t>
            </w:r>
            <w:r w:rsidR="008A2E74">
              <w:rPr>
                <w:rFonts w:cs="Arial"/>
                <w:color w:val="000000" w:themeColor="text1"/>
                <w:sz w:val="18"/>
                <w:szCs w:val="18"/>
              </w:rPr>
              <w:t>Emission Allowances Derivatives</w:t>
            </w:r>
            <w:r w:rsidRPr="00446E6D">
              <w:rPr>
                <w:rFonts w:cs="Arial"/>
                <w:color w:val="000000" w:themeColor="text1"/>
                <w:sz w:val="18"/>
                <w:szCs w:val="18"/>
              </w:rPr>
              <w:t xml:space="preserve"> </w:t>
            </w:r>
          </w:p>
          <w:p w14:paraId="4171E46A" w14:textId="5E8C879B" w:rsidR="00A3327B" w:rsidRPr="00446E6D" w:rsidRDefault="008A2E74" w:rsidP="00A3327B">
            <w:pPr>
              <w:pStyle w:val="ListParagraph"/>
              <w:numPr>
                <w:ilvl w:val="0"/>
                <w:numId w:val="3"/>
              </w:numPr>
              <w:contextualSpacing w:val="0"/>
              <w:rPr>
                <w:rFonts w:cs="Arial"/>
                <w:color w:val="000000" w:themeColor="text1"/>
                <w:sz w:val="18"/>
                <w:szCs w:val="18"/>
              </w:rPr>
            </w:pPr>
            <w:r>
              <w:rPr>
                <w:rFonts w:cs="Arial"/>
                <w:color w:val="000000" w:themeColor="text1"/>
                <w:sz w:val="18"/>
                <w:szCs w:val="18"/>
              </w:rPr>
              <w:t>Credit Derivatives</w:t>
            </w:r>
          </w:p>
          <w:p w14:paraId="49549272" w14:textId="5B229099" w:rsidR="00A3327B" w:rsidRPr="00446E6D" w:rsidRDefault="00A3327B" w:rsidP="00A3327B">
            <w:pPr>
              <w:pStyle w:val="ListParagraph"/>
              <w:numPr>
                <w:ilvl w:val="0"/>
                <w:numId w:val="3"/>
              </w:numPr>
              <w:contextualSpacing w:val="0"/>
              <w:rPr>
                <w:rFonts w:cs="Arial"/>
                <w:color w:val="000000" w:themeColor="text1"/>
                <w:sz w:val="18"/>
                <w:szCs w:val="18"/>
              </w:rPr>
            </w:pPr>
            <w:r w:rsidRPr="00446E6D">
              <w:rPr>
                <w:rFonts w:cs="Arial"/>
                <w:color w:val="000000" w:themeColor="text1"/>
                <w:sz w:val="18"/>
                <w:szCs w:val="18"/>
              </w:rPr>
              <w:t>Currency Derivatives</w:t>
            </w:r>
          </w:p>
          <w:p w14:paraId="4C82F462" w14:textId="5FA3EB54" w:rsidR="00A3327B" w:rsidRPr="00446E6D" w:rsidRDefault="008A2E74" w:rsidP="00A3327B">
            <w:pPr>
              <w:pStyle w:val="ListParagraph"/>
              <w:numPr>
                <w:ilvl w:val="0"/>
                <w:numId w:val="3"/>
              </w:numPr>
              <w:contextualSpacing w:val="0"/>
              <w:rPr>
                <w:rFonts w:cs="Arial"/>
                <w:color w:val="000000" w:themeColor="text1"/>
                <w:sz w:val="18"/>
                <w:szCs w:val="18"/>
              </w:rPr>
            </w:pPr>
            <w:r>
              <w:rPr>
                <w:rFonts w:cs="Arial"/>
                <w:color w:val="000000" w:themeColor="text1"/>
                <w:sz w:val="18"/>
                <w:szCs w:val="18"/>
              </w:rPr>
              <w:t>Equity Derivatives</w:t>
            </w:r>
          </w:p>
          <w:p w14:paraId="574D5B04" w14:textId="2E87D041" w:rsidR="00A3327B" w:rsidRDefault="00A3327B" w:rsidP="00A3327B">
            <w:pPr>
              <w:pStyle w:val="ListParagraph"/>
              <w:numPr>
                <w:ilvl w:val="0"/>
                <w:numId w:val="3"/>
              </w:numPr>
              <w:contextualSpacing w:val="0"/>
              <w:rPr>
                <w:rFonts w:cs="Arial"/>
                <w:color w:val="000000" w:themeColor="text1"/>
                <w:sz w:val="18"/>
                <w:szCs w:val="18"/>
              </w:rPr>
            </w:pPr>
            <w:r w:rsidRPr="00446E6D">
              <w:rPr>
                <w:rFonts w:cs="Arial"/>
                <w:color w:val="000000" w:themeColor="text1"/>
                <w:sz w:val="18"/>
                <w:szCs w:val="18"/>
              </w:rPr>
              <w:t>Interest Rates Derivatives</w:t>
            </w:r>
          </w:p>
          <w:p w14:paraId="4DA984B0" w14:textId="77777777" w:rsidR="00A3327B" w:rsidRPr="00446E6D" w:rsidRDefault="00A3327B" w:rsidP="00D23BB9">
            <w:pPr>
              <w:pStyle w:val="ListParagraph"/>
              <w:contextualSpacing w:val="0"/>
              <w:rPr>
                <w:rFonts w:cs="Arial"/>
                <w:color w:val="000000" w:themeColor="text1"/>
                <w:sz w:val="18"/>
                <w:szCs w:val="18"/>
              </w:rPr>
            </w:pPr>
          </w:p>
          <w:p w14:paraId="7B5444C7" w14:textId="77777777" w:rsidR="00A3327B" w:rsidRDefault="00A3327B" w:rsidP="00D23BB9">
            <w:pPr>
              <w:rPr>
                <w:rFonts w:cs="Arial"/>
                <w:color w:val="000000" w:themeColor="text1"/>
                <w:sz w:val="18"/>
                <w:szCs w:val="18"/>
              </w:rPr>
            </w:pPr>
            <w:r w:rsidRPr="00446E6D">
              <w:rPr>
                <w:rFonts w:cs="Arial"/>
                <w:color w:val="000000" w:themeColor="text1"/>
                <w:sz w:val="18"/>
                <w:szCs w:val="18"/>
              </w:rPr>
              <w:t xml:space="preserve">The following </w:t>
            </w:r>
            <w:r>
              <w:rPr>
                <w:rFonts w:cs="Arial"/>
                <w:color w:val="000000" w:themeColor="text1"/>
                <w:sz w:val="18"/>
                <w:szCs w:val="18"/>
              </w:rPr>
              <w:t>Classes of Instruments</w:t>
            </w:r>
            <w:r w:rsidRPr="00446E6D">
              <w:rPr>
                <w:rFonts w:cs="Arial"/>
                <w:color w:val="000000" w:themeColor="text1"/>
                <w:sz w:val="18"/>
                <w:szCs w:val="18"/>
              </w:rPr>
              <w:t xml:space="preserve"> </w:t>
            </w:r>
            <w:r>
              <w:rPr>
                <w:rFonts w:cs="Arial"/>
                <w:color w:val="000000" w:themeColor="text1"/>
                <w:sz w:val="18"/>
                <w:szCs w:val="18"/>
              </w:rPr>
              <w:t>include data pertaining to F</w:t>
            </w:r>
            <w:r w:rsidRPr="00446E6D">
              <w:rPr>
                <w:rFonts w:cs="Arial"/>
                <w:color w:val="000000" w:themeColor="text1"/>
                <w:sz w:val="18"/>
                <w:szCs w:val="18"/>
              </w:rPr>
              <w:t xml:space="preserve">utures and </w:t>
            </w:r>
            <w:r>
              <w:rPr>
                <w:rFonts w:cs="Arial"/>
                <w:color w:val="000000" w:themeColor="text1"/>
                <w:sz w:val="18"/>
                <w:szCs w:val="18"/>
              </w:rPr>
              <w:t>O</w:t>
            </w:r>
            <w:r w:rsidRPr="00446E6D">
              <w:rPr>
                <w:rFonts w:cs="Arial"/>
                <w:color w:val="000000" w:themeColor="text1"/>
                <w:sz w:val="18"/>
                <w:szCs w:val="18"/>
              </w:rPr>
              <w:t>ptions</w:t>
            </w:r>
            <w:r>
              <w:rPr>
                <w:rFonts w:cs="Arial"/>
                <w:color w:val="000000" w:themeColor="text1"/>
                <w:sz w:val="18"/>
                <w:szCs w:val="18"/>
              </w:rPr>
              <w:t xml:space="preserve"> </w:t>
            </w:r>
            <w:r w:rsidRPr="00446E6D">
              <w:rPr>
                <w:rFonts w:cs="Arial"/>
                <w:color w:val="000000" w:themeColor="text1"/>
                <w:sz w:val="18"/>
                <w:szCs w:val="18"/>
              </w:rPr>
              <w:t xml:space="preserve">listed on </w:t>
            </w:r>
            <w:r>
              <w:rPr>
                <w:rFonts w:cs="Arial"/>
                <w:color w:val="000000" w:themeColor="text1"/>
                <w:sz w:val="18"/>
                <w:szCs w:val="18"/>
              </w:rPr>
              <w:t xml:space="preserve">trading </w:t>
            </w:r>
            <w:r w:rsidRPr="00446E6D">
              <w:rPr>
                <w:rFonts w:cs="Arial"/>
                <w:color w:val="000000" w:themeColor="text1"/>
                <w:sz w:val="18"/>
                <w:szCs w:val="18"/>
              </w:rPr>
              <w:t>venues</w:t>
            </w:r>
            <w:r>
              <w:rPr>
                <w:rFonts w:cs="Arial"/>
                <w:color w:val="000000" w:themeColor="text1"/>
                <w:sz w:val="18"/>
                <w:szCs w:val="18"/>
              </w:rPr>
              <w:t xml:space="preserve"> located</w:t>
            </w:r>
            <w:r w:rsidRPr="00446E6D">
              <w:rPr>
                <w:rFonts w:cs="Arial"/>
                <w:color w:val="000000" w:themeColor="text1"/>
                <w:sz w:val="18"/>
                <w:szCs w:val="18"/>
              </w:rPr>
              <w:t xml:space="preserve"> outside the EEA. </w:t>
            </w:r>
            <w:r>
              <w:rPr>
                <w:rFonts w:cs="Arial"/>
                <w:color w:val="000000" w:themeColor="text1"/>
                <w:sz w:val="18"/>
                <w:szCs w:val="18"/>
              </w:rPr>
              <w:t>T</w:t>
            </w:r>
            <w:r w:rsidRPr="00446E6D">
              <w:rPr>
                <w:rFonts w:cs="Arial"/>
                <w:color w:val="000000" w:themeColor="text1"/>
                <w:sz w:val="18"/>
                <w:szCs w:val="18"/>
              </w:rPr>
              <w:t xml:space="preserve">hese have been listed separately </w:t>
            </w:r>
            <w:r>
              <w:rPr>
                <w:rFonts w:cs="Arial"/>
                <w:color w:val="000000" w:themeColor="text1"/>
                <w:sz w:val="18"/>
                <w:szCs w:val="18"/>
              </w:rPr>
              <w:t>i</w:t>
            </w:r>
            <w:r w:rsidRPr="00446E6D">
              <w:rPr>
                <w:rFonts w:cs="Arial"/>
                <w:color w:val="000000" w:themeColor="text1"/>
                <w:sz w:val="18"/>
                <w:szCs w:val="18"/>
              </w:rPr>
              <w:t>n the</w:t>
            </w:r>
            <w:r>
              <w:rPr>
                <w:rFonts w:cs="Arial"/>
                <w:color w:val="000000" w:themeColor="text1"/>
                <w:sz w:val="18"/>
                <w:szCs w:val="18"/>
              </w:rPr>
              <w:t xml:space="preserve"> aforementioned</w:t>
            </w:r>
            <w:r w:rsidRPr="00446E6D">
              <w:rPr>
                <w:rFonts w:cs="Arial"/>
                <w:color w:val="000000" w:themeColor="text1"/>
                <w:sz w:val="18"/>
                <w:szCs w:val="18"/>
              </w:rPr>
              <w:t xml:space="preserve"> </w:t>
            </w:r>
            <w:r>
              <w:rPr>
                <w:rFonts w:cs="Arial"/>
                <w:color w:val="000000" w:themeColor="text1"/>
                <w:sz w:val="18"/>
                <w:szCs w:val="18"/>
              </w:rPr>
              <w:t>“</w:t>
            </w:r>
            <w:r w:rsidRPr="00446E6D">
              <w:rPr>
                <w:rFonts w:cs="Arial"/>
                <w:color w:val="000000" w:themeColor="text1"/>
                <w:sz w:val="18"/>
                <w:szCs w:val="18"/>
              </w:rPr>
              <w:t>top five</w:t>
            </w:r>
            <w:r>
              <w:rPr>
                <w:rFonts w:cs="Arial"/>
                <w:color w:val="000000" w:themeColor="text1"/>
                <w:sz w:val="18"/>
                <w:szCs w:val="18"/>
              </w:rPr>
              <w:t>”</w:t>
            </w:r>
            <w:r w:rsidRPr="00446E6D">
              <w:rPr>
                <w:rFonts w:cs="Arial"/>
                <w:color w:val="000000" w:themeColor="text1"/>
                <w:sz w:val="18"/>
                <w:szCs w:val="18"/>
              </w:rPr>
              <w:t xml:space="preserve"> execution venue report but are considered in the below analysis:</w:t>
            </w:r>
          </w:p>
          <w:p w14:paraId="6ADF7542" w14:textId="77777777" w:rsidR="00A3327B" w:rsidRPr="00446E6D" w:rsidRDefault="00A3327B" w:rsidP="00D23BB9">
            <w:pPr>
              <w:rPr>
                <w:rFonts w:cs="Arial"/>
                <w:color w:val="000000" w:themeColor="text1"/>
                <w:sz w:val="18"/>
                <w:szCs w:val="18"/>
              </w:rPr>
            </w:pPr>
          </w:p>
          <w:p w14:paraId="19A265A2" w14:textId="3D6B1DFB" w:rsidR="00A3327B" w:rsidRPr="00446E6D" w:rsidRDefault="00A3327B" w:rsidP="00A3327B">
            <w:pPr>
              <w:pStyle w:val="ListParagraph"/>
              <w:numPr>
                <w:ilvl w:val="0"/>
                <w:numId w:val="3"/>
              </w:numPr>
              <w:contextualSpacing w:val="0"/>
              <w:rPr>
                <w:rFonts w:cs="Arial"/>
                <w:color w:val="000000" w:themeColor="text1"/>
                <w:sz w:val="18"/>
                <w:szCs w:val="18"/>
              </w:rPr>
            </w:pPr>
            <w:r w:rsidRPr="00446E6D">
              <w:rPr>
                <w:rFonts w:cs="Arial"/>
                <w:color w:val="000000" w:themeColor="text1"/>
                <w:sz w:val="18"/>
                <w:szCs w:val="18"/>
              </w:rPr>
              <w:t>Commodities Derivatives And Emission Allowances Derivatives</w:t>
            </w:r>
          </w:p>
          <w:p w14:paraId="0621A6B0" w14:textId="516A0335" w:rsidR="00A3327B" w:rsidRPr="00446E6D" w:rsidRDefault="00A3327B" w:rsidP="00A3327B">
            <w:pPr>
              <w:pStyle w:val="ListParagraph"/>
              <w:numPr>
                <w:ilvl w:val="0"/>
                <w:numId w:val="3"/>
              </w:numPr>
              <w:contextualSpacing w:val="0"/>
              <w:rPr>
                <w:rFonts w:cs="Arial"/>
                <w:color w:val="000000" w:themeColor="text1"/>
                <w:sz w:val="18"/>
                <w:szCs w:val="18"/>
              </w:rPr>
            </w:pPr>
            <w:r w:rsidRPr="00446E6D">
              <w:rPr>
                <w:rFonts w:cs="Arial"/>
                <w:color w:val="000000" w:themeColor="text1"/>
                <w:sz w:val="18"/>
                <w:szCs w:val="18"/>
              </w:rPr>
              <w:t>Equity Derivatives</w:t>
            </w:r>
          </w:p>
          <w:p w14:paraId="54044F34" w14:textId="77777777" w:rsidR="00A3327B" w:rsidRPr="00446E6D" w:rsidRDefault="00A3327B" w:rsidP="00D23BB9">
            <w:pPr>
              <w:rPr>
                <w:color w:val="000000" w:themeColor="text1"/>
                <w:sz w:val="18"/>
                <w:szCs w:val="18"/>
              </w:rPr>
            </w:pPr>
          </w:p>
          <w:p w14:paraId="445F709B" w14:textId="77777777" w:rsidR="00A3327B" w:rsidRPr="00446E6D" w:rsidRDefault="00A3327B" w:rsidP="00D23BB9">
            <w:pPr>
              <w:rPr>
                <w:color w:val="000000" w:themeColor="text1"/>
                <w:sz w:val="18"/>
                <w:szCs w:val="18"/>
              </w:rPr>
            </w:pPr>
            <w:r w:rsidRPr="00446E6D">
              <w:rPr>
                <w:color w:val="000000" w:themeColor="text1"/>
                <w:sz w:val="18"/>
                <w:szCs w:val="18"/>
              </w:rPr>
              <w:t xml:space="preserve">The majority of client business placed with other firms for execution by J.P. Morgan Securities plc related to </w:t>
            </w:r>
            <w:r>
              <w:rPr>
                <w:color w:val="000000" w:themeColor="text1"/>
                <w:sz w:val="18"/>
                <w:szCs w:val="18"/>
              </w:rPr>
              <w:t xml:space="preserve">in-scope </w:t>
            </w:r>
            <w:r w:rsidRPr="00446E6D">
              <w:rPr>
                <w:color w:val="000000" w:themeColor="text1"/>
                <w:sz w:val="18"/>
                <w:szCs w:val="18"/>
              </w:rPr>
              <w:t>orders transmitted to other regional J.P. Morgan entities (affiliates) for the purposes of providing access to those markets.  Note that we have classified this business as “directed” on the basis that clients placing business with J.P. Morgan Securities plc have a reasonable expectation that it will be executed either directly by J.P. Morgan Securities plc, or by an affiliate, where possible. </w:t>
            </w:r>
          </w:p>
          <w:p w14:paraId="1C6FC7AC" w14:textId="77777777" w:rsidR="00A3327B" w:rsidRPr="00446E6D" w:rsidRDefault="00A3327B" w:rsidP="00D23BB9">
            <w:pPr>
              <w:rPr>
                <w:color w:val="000000" w:themeColor="text1"/>
                <w:sz w:val="18"/>
                <w:szCs w:val="18"/>
              </w:rPr>
            </w:pPr>
          </w:p>
          <w:p w14:paraId="074BD167" w14:textId="77777777" w:rsidR="00A3327B" w:rsidRPr="00446E6D" w:rsidRDefault="00A3327B" w:rsidP="00D23BB9">
            <w:pPr>
              <w:rPr>
                <w:color w:val="000000" w:themeColor="text1"/>
                <w:sz w:val="18"/>
                <w:szCs w:val="18"/>
              </w:rPr>
            </w:pPr>
            <w:r w:rsidRPr="00446E6D">
              <w:rPr>
                <w:color w:val="000000" w:themeColor="text1"/>
                <w:sz w:val="18"/>
                <w:szCs w:val="18"/>
              </w:rPr>
              <w:t>For certain client business J.P. Morgan Securities plc uses a number of third party entities for order execution, such as carry brokers (for access to certain regulated markets), which  allows J.P. Morgan to provide market access where it otherwise may not be able to execute or where it is believed this will achieve more favourable execution terms for the client. Where J.P. Morgan engages either an affiliate or a third party broker for order execution, J.P. Morgan will comply with its Best Execution obligations.</w:t>
            </w:r>
          </w:p>
          <w:p w14:paraId="02AD0D93" w14:textId="77777777" w:rsidR="00A3327B" w:rsidRPr="00446E6D" w:rsidRDefault="00A3327B" w:rsidP="00D23BB9">
            <w:pPr>
              <w:rPr>
                <w:color w:val="000000" w:themeColor="text1"/>
                <w:sz w:val="18"/>
                <w:szCs w:val="18"/>
              </w:rPr>
            </w:pPr>
          </w:p>
          <w:p w14:paraId="43EE79DF" w14:textId="77777777" w:rsidR="00A3327B" w:rsidRPr="00446E6D" w:rsidRDefault="00A3327B" w:rsidP="00D23BB9">
            <w:pPr>
              <w:rPr>
                <w:color w:val="000000" w:themeColor="text1"/>
                <w:sz w:val="18"/>
                <w:szCs w:val="18"/>
              </w:rPr>
            </w:pPr>
            <w:r w:rsidRPr="00446E6D">
              <w:rPr>
                <w:color w:val="000000" w:themeColor="text1"/>
                <w:sz w:val="18"/>
                <w:szCs w:val="18"/>
              </w:rPr>
              <w:t>J.P. Morgan</w:t>
            </w:r>
            <w:r>
              <w:rPr>
                <w:color w:val="000000" w:themeColor="text1"/>
                <w:sz w:val="18"/>
                <w:szCs w:val="18"/>
              </w:rPr>
              <w:t xml:space="preserve"> Securities plc</w:t>
            </w:r>
            <w:r w:rsidRPr="00446E6D">
              <w:rPr>
                <w:color w:val="000000" w:themeColor="text1"/>
                <w:sz w:val="18"/>
                <w:szCs w:val="18"/>
              </w:rPr>
              <w:t xml:space="preserve"> monitored Best Execution in Futures and Options admitted to a trading venue on a regular basis, through post-trade controls. The results of the monitoring were reviewed by J.P. Morgan management and control functions.  J.P. Morgan </w:t>
            </w:r>
            <w:r>
              <w:rPr>
                <w:color w:val="000000" w:themeColor="text1"/>
                <w:sz w:val="18"/>
                <w:szCs w:val="18"/>
              </w:rPr>
              <w:t xml:space="preserve">Securities plc </w:t>
            </w:r>
            <w:r w:rsidRPr="00446E6D">
              <w:rPr>
                <w:color w:val="000000" w:themeColor="text1"/>
                <w:sz w:val="18"/>
                <w:szCs w:val="18"/>
              </w:rPr>
              <w:t xml:space="preserve">regularly reviews the post trade controls to ensure that these continue </w:t>
            </w:r>
            <w:r w:rsidRPr="00446E6D">
              <w:rPr>
                <w:rFonts w:cs="Helvetica"/>
                <w:color w:val="000000" w:themeColor="text1"/>
                <w:sz w:val="18"/>
                <w:szCs w:val="20"/>
              </w:rPr>
              <w:t>to meet our Best Execution obligations</w:t>
            </w:r>
            <w:r w:rsidRPr="00446E6D">
              <w:rPr>
                <w:color w:val="000000" w:themeColor="text1"/>
                <w:sz w:val="18"/>
                <w:szCs w:val="18"/>
              </w:rPr>
              <w:t>. Best Execution monitoring results were in</w:t>
            </w:r>
            <w:r>
              <w:rPr>
                <w:color w:val="000000" w:themeColor="text1"/>
                <w:sz w:val="18"/>
                <w:szCs w:val="18"/>
              </w:rPr>
              <w:t xml:space="preserve"> </w:t>
            </w:r>
            <w:r w:rsidRPr="00446E6D">
              <w:rPr>
                <w:color w:val="000000" w:themeColor="text1"/>
                <w:sz w:val="18"/>
                <w:szCs w:val="18"/>
              </w:rPr>
              <w:t>line with J.P. Morgan expectations.</w:t>
            </w:r>
          </w:p>
          <w:p w14:paraId="2EC64611" w14:textId="77777777" w:rsidR="00A3327B" w:rsidRPr="00446E6D" w:rsidRDefault="00A3327B" w:rsidP="00D23BB9">
            <w:pPr>
              <w:rPr>
                <w:color w:val="000000" w:themeColor="text1"/>
                <w:sz w:val="18"/>
                <w:szCs w:val="18"/>
              </w:rPr>
            </w:pPr>
          </w:p>
        </w:tc>
      </w:tr>
      <w:tr w:rsidR="00A3327B" w:rsidRPr="00446E6D" w14:paraId="75867BDA" w14:textId="77777777" w:rsidTr="00D23BB9">
        <w:tc>
          <w:tcPr>
            <w:tcW w:w="4410" w:type="dxa"/>
            <w:tcBorders>
              <w:left w:val="single" w:sz="12" w:space="0" w:color="auto"/>
            </w:tcBorders>
            <w:shd w:val="clear" w:color="auto" w:fill="D9D9D9" w:themeFill="background1" w:themeFillShade="D9"/>
          </w:tcPr>
          <w:p w14:paraId="0E1BCF84" w14:textId="77777777" w:rsidR="00A3327B" w:rsidRPr="00446E6D" w:rsidRDefault="00A3327B" w:rsidP="00D23BB9">
            <w:pPr>
              <w:rPr>
                <w:color w:val="000000" w:themeColor="text1"/>
                <w:sz w:val="18"/>
                <w:szCs w:val="18"/>
              </w:rPr>
            </w:pPr>
            <w:r w:rsidRPr="00446E6D">
              <w:rPr>
                <w:color w:val="000000" w:themeColor="text1"/>
                <w:sz w:val="18"/>
                <w:szCs w:val="18"/>
              </w:rPr>
              <w:t>Relative importance given to execution factors &amp; other considerations</w:t>
            </w:r>
          </w:p>
        </w:tc>
        <w:tc>
          <w:tcPr>
            <w:tcW w:w="9990" w:type="dxa"/>
            <w:tcBorders>
              <w:right w:val="single" w:sz="12" w:space="0" w:color="auto"/>
            </w:tcBorders>
          </w:tcPr>
          <w:p w14:paraId="5BF4BA57" w14:textId="77777777" w:rsidR="00A3327B" w:rsidRPr="00446E6D" w:rsidRDefault="00A3327B" w:rsidP="00D23BB9">
            <w:pPr>
              <w:spacing w:after="120"/>
              <w:rPr>
                <w:rFonts w:cs="Helvetica"/>
                <w:color w:val="000000" w:themeColor="text1"/>
                <w:sz w:val="18"/>
                <w:szCs w:val="20"/>
                <w:lang w:val="en-US"/>
              </w:rPr>
            </w:pPr>
            <w:r w:rsidRPr="00446E6D">
              <w:rPr>
                <w:rFonts w:cs="Helvetica"/>
                <w:color w:val="000000" w:themeColor="text1"/>
                <w:sz w:val="18"/>
                <w:szCs w:val="20"/>
                <w:lang w:val="en-US"/>
              </w:rPr>
              <w:t>Whilst our affiliates and third party brokers operate in different regulatory jurisdictions, we also expect them to take a similar (but not necessarily equivalent) approach to their treatment of the execution factors that affect overall quality of execution.</w:t>
            </w:r>
            <w:r>
              <w:rPr>
                <w:rFonts w:cs="Helvetica"/>
                <w:color w:val="000000" w:themeColor="text1"/>
                <w:sz w:val="18"/>
                <w:szCs w:val="20"/>
                <w:lang w:val="en-US"/>
              </w:rPr>
              <w:t xml:space="preserve"> </w:t>
            </w:r>
            <w:r w:rsidRPr="00E851D1">
              <w:rPr>
                <w:rFonts w:cstheme="minorHAnsi"/>
                <w:color w:val="000000" w:themeColor="text1"/>
                <w:sz w:val="18"/>
                <w:szCs w:val="18"/>
              </w:rPr>
              <w:t xml:space="preserve">Please refer to </w:t>
            </w:r>
            <w:r>
              <w:rPr>
                <w:rFonts w:cstheme="minorHAnsi"/>
                <w:color w:val="000000" w:themeColor="text1"/>
                <w:sz w:val="18"/>
                <w:szCs w:val="18"/>
              </w:rPr>
              <w:t xml:space="preserve">Appendix 3 of the </w:t>
            </w:r>
            <w:hyperlink r:id="rId11" w:history="1">
              <w:r w:rsidRPr="00D75000">
                <w:rPr>
                  <w:rStyle w:val="Hyperlink"/>
                  <w:rFonts w:cstheme="minorHAnsi"/>
                  <w:sz w:val="18"/>
                  <w:szCs w:val="18"/>
                </w:rPr>
                <w:t>J.P. Morgan Execution Policy</w:t>
              </w:r>
            </w:hyperlink>
            <w:r w:rsidRPr="00E851D1">
              <w:rPr>
                <w:rFonts w:cstheme="minorHAnsi"/>
                <w:color w:val="000000" w:themeColor="text1"/>
                <w:sz w:val="18"/>
                <w:szCs w:val="18"/>
              </w:rPr>
              <w:t xml:space="preserve"> for further information on factors affecting our choice of execution venues.</w:t>
            </w:r>
          </w:p>
          <w:p w14:paraId="569D8F12" w14:textId="77777777" w:rsidR="00A3327B" w:rsidRPr="00446E6D" w:rsidRDefault="00A3327B" w:rsidP="00D23BB9">
            <w:pPr>
              <w:spacing w:after="120"/>
              <w:rPr>
                <w:color w:val="000000" w:themeColor="text1"/>
                <w:sz w:val="18"/>
                <w:szCs w:val="18"/>
              </w:rPr>
            </w:pPr>
            <w:r w:rsidRPr="00446E6D">
              <w:rPr>
                <w:rFonts w:cs="Helvetica"/>
                <w:color w:val="000000" w:themeColor="text1"/>
                <w:sz w:val="18"/>
                <w:szCs w:val="20"/>
              </w:rPr>
              <w:t xml:space="preserve">As per Appendix 3 of </w:t>
            </w:r>
            <w:r>
              <w:rPr>
                <w:rFonts w:cs="Helvetica"/>
                <w:color w:val="000000" w:themeColor="text1"/>
                <w:sz w:val="18"/>
                <w:szCs w:val="20"/>
              </w:rPr>
              <w:t xml:space="preserve">the </w:t>
            </w:r>
            <w:hyperlink r:id="rId12" w:history="1">
              <w:r w:rsidRPr="00446E6D">
                <w:rPr>
                  <w:rStyle w:val="Hyperlink"/>
                  <w:rFonts w:cs="Helvetica"/>
                  <w:color w:val="000000" w:themeColor="text1"/>
                  <w:sz w:val="18"/>
                  <w:szCs w:val="18"/>
                </w:rPr>
                <w:t>J.P. Morgan Execution Policy</w:t>
              </w:r>
            </w:hyperlink>
            <w:r w:rsidRPr="00446E6D">
              <w:rPr>
                <w:rFonts w:cs="Helvetica"/>
                <w:color w:val="000000" w:themeColor="text1"/>
                <w:sz w:val="18"/>
                <w:szCs w:val="20"/>
              </w:rPr>
              <w:t xml:space="preserve"> price is the most important </w:t>
            </w:r>
            <w:r>
              <w:rPr>
                <w:rFonts w:cs="Helvetica"/>
                <w:color w:val="000000" w:themeColor="text1"/>
                <w:sz w:val="18"/>
                <w:szCs w:val="20"/>
              </w:rPr>
              <w:t xml:space="preserve">execution </w:t>
            </w:r>
            <w:r w:rsidRPr="00446E6D">
              <w:rPr>
                <w:rFonts w:cs="Helvetica"/>
                <w:color w:val="000000" w:themeColor="text1"/>
                <w:sz w:val="18"/>
                <w:szCs w:val="20"/>
              </w:rPr>
              <w:t xml:space="preserve">factor. After price, </w:t>
            </w:r>
            <w:r>
              <w:rPr>
                <w:rFonts w:cs="Helvetica"/>
                <w:color w:val="000000" w:themeColor="text1"/>
                <w:sz w:val="18"/>
                <w:szCs w:val="20"/>
              </w:rPr>
              <w:t xml:space="preserve">speed and </w:t>
            </w:r>
            <w:r w:rsidRPr="00446E6D">
              <w:rPr>
                <w:rFonts w:cs="Helvetica"/>
                <w:color w:val="000000" w:themeColor="text1"/>
                <w:sz w:val="18"/>
                <w:szCs w:val="20"/>
              </w:rPr>
              <w:t>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relevant Futures or Options contract is illiquid, or if the limit price provided is not marketable.</w:t>
            </w:r>
          </w:p>
        </w:tc>
      </w:tr>
      <w:tr w:rsidR="00A3327B" w:rsidRPr="00446E6D" w14:paraId="5DDF2567" w14:textId="77777777" w:rsidTr="00D23BB9">
        <w:tc>
          <w:tcPr>
            <w:tcW w:w="4410" w:type="dxa"/>
            <w:tcBorders>
              <w:left w:val="single" w:sz="12" w:space="0" w:color="auto"/>
            </w:tcBorders>
            <w:shd w:val="clear" w:color="auto" w:fill="D9D9D9" w:themeFill="background1" w:themeFillShade="D9"/>
          </w:tcPr>
          <w:p w14:paraId="434A63FD" w14:textId="77777777" w:rsidR="00A3327B" w:rsidRPr="00446E6D" w:rsidRDefault="00A3327B" w:rsidP="00D23BB9">
            <w:pPr>
              <w:rPr>
                <w:color w:val="000000" w:themeColor="text1"/>
                <w:sz w:val="18"/>
                <w:szCs w:val="18"/>
              </w:rPr>
            </w:pPr>
            <w:r w:rsidRPr="00446E6D">
              <w:rPr>
                <w:color w:val="000000" w:themeColor="text1"/>
                <w:sz w:val="18"/>
                <w:szCs w:val="18"/>
              </w:rPr>
              <w:t>Receiving firm close links / conflicts of interest / common ownerships</w:t>
            </w:r>
          </w:p>
        </w:tc>
        <w:tc>
          <w:tcPr>
            <w:tcW w:w="9990" w:type="dxa"/>
            <w:tcBorders>
              <w:right w:val="single" w:sz="12" w:space="0" w:color="auto"/>
            </w:tcBorders>
          </w:tcPr>
          <w:p w14:paraId="17EABC40" w14:textId="24005FE2" w:rsidR="00A3327B" w:rsidRPr="00446E6D" w:rsidRDefault="00A3327B" w:rsidP="00D23BB9">
            <w:pPr>
              <w:spacing w:after="120"/>
              <w:rPr>
                <w:color w:val="000000" w:themeColor="text1"/>
                <w:sz w:val="18"/>
                <w:szCs w:val="18"/>
              </w:rPr>
            </w:pPr>
            <w:r w:rsidRPr="00446E6D">
              <w:rPr>
                <w:color w:val="000000" w:themeColor="text1"/>
                <w:sz w:val="18"/>
                <w:szCs w:val="18"/>
              </w:rPr>
              <w:t xml:space="preserve">J.P. Morgan Securities plc is a fully owned subsidiary of </w:t>
            </w:r>
            <w:r w:rsidR="00FE46C6">
              <w:rPr>
                <w:color w:val="000000" w:themeColor="text1"/>
                <w:sz w:val="18"/>
                <w:szCs w:val="18"/>
              </w:rPr>
              <w:t>JPMorgan Chase &amp; Co</w:t>
            </w:r>
            <w:r w:rsidRPr="00446E6D">
              <w:rPr>
                <w:color w:val="000000" w:themeColor="text1"/>
                <w:sz w:val="18"/>
                <w:szCs w:val="18"/>
              </w:rPr>
              <w:t>.</w:t>
            </w:r>
            <w:r w:rsidR="00FE46C6">
              <w:rPr>
                <w:color w:val="000000" w:themeColor="text1"/>
                <w:sz w:val="18"/>
                <w:szCs w:val="18"/>
              </w:rPr>
              <w:t xml:space="preserve"> </w:t>
            </w:r>
            <w:r w:rsidRPr="00446E6D">
              <w:rPr>
                <w:color w:val="000000" w:themeColor="text1"/>
                <w:sz w:val="18"/>
                <w:szCs w:val="18"/>
              </w:rPr>
              <w:t xml:space="preserve"> J</w:t>
            </w:r>
            <w:r>
              <w:rPr>
                <w:color w:val="000000" w:themeColor="text1"/>
                <w:sz w:val="18"/>
                <w:szCs w:val="18"/>
              </w:rPr>
              <w:t>.</w:t>
            </w:r>
            <w:r w:rsidRPr="00446E6D">
              <w:rPr>
                <w:color w:val="000000" w:themeColor="text1"/>
                <w:sz w:val="18"/>
                <w:szCs w:val="18"/>
              </w:rPr>
              <w:t>P</w:t>
            </w:r>
            <w:r>
              <w:rPr>
                <w:color w:val="000000" w:themeColor="text1"/>
                <w:sz w:val="18"/>
                <w:szCs w:val="18"/>
              </w:rPr>
              <w:t>.</w:t>
            </w:r>
            <w:r w:rsidRPr="00446E6D">
              <w:rPr>
                <w:color w:val="000000" w:themeColor="text1"/>
                <w:sz w:val="18"/>
                <w:szCs w:val="18"/>
              </w:rPr>
              <w:t xml:space="preserve"> Morgan </w:t>
            </w:r>
            <w:r>
              <w:rPr>
                <w:color w:val="000000" w:themeColor="text1"/>
                <w:sz w:val="18"/>
                <w:szCs w:val="18"/>
              </w:rPr>
              <w:t xml:space="preserve">Securities plc </w:t>
            </w:r>
            <w:r w:rsidRPr="00446E6D">
              <w:rPr>
                <w:color w:val="000000" w:themeColor="text1"/>
                <w:sz w:val="18"/>
                <w:szCs w:val="18"/>
              </w:rPr>
              <w:t xml:space="preserve">will engage with global affiliates to manage order execution in local markets. </w:t>
            </w:r>
          </w:p>
          <w:p w14:paraId="2344A6D6" w14:textId="0608BEA0" w:rsidR="00A3327B" w:rsidRPr="00446E6D" w:rsidRDefault="00A3327B" w:rsidP="00D23BB9">
            <w:pPr>
              <w:spacing w:after="120"/>
              <w:rPr>
                <w:color w:val="000000" w:themeColor="text1"/>
                <w:sz w:val="18"/>
                <w:szCs w:val="18"/>
              </w:rPr>
            </w:pPr>
            <w:r w:rsidRPr="00446E6D">
              <w:rPr>
                <w:color w:val="000000" w:themeColor="text1"/>
                <w:sz w:val="18"/>
                <w:szCs w:val="18"/>
              </w:rPr>
              <w:t>The affiliates used for the majority of cross-regiona</w:t>
            </w:r>
            <w:r w:rsidR="006C314A">
              <w:rPr>
                <w:color w:val="000000" w:themeColor="text1"/>
                <w:sz w:val="18"/>
                <w:szCs w:val="18"/>
              </w:rPr>
              <w:t>l execution are all owned by JPMorgan</w:t>
            </w:r>
            <w:r w:rsidRPr="00446E6D">
              <w:rPr>
                <w:color w:val="000000" w:themeColor="text1"/>
                <w:sz w:val="18"/>
                <w:szCs w:val="18"/>
              </w:rPr>
              <w:t xml:space="preserve"> </w:t>
            </w:r>
            <w:r>
              <w:rPr>
                <w:color w:val="000000" w:themeColor="text1"/>
                <w:sz w:val="18"/>
                <w:szCs w:val="18"/>
              </w:rPr>
              <w:t>Chase &amp; Co</w:t>
            </w:r>
            <w:r w:rsidRPr="00446E6D">
              <w:rPr>
                <w:color w:val="000000" w:themeColor="text1"/>
                <w:sz w:val="18"/>
                <w:szCs w:val="18"/>
              </w:rPr>
              <w:t xml:space="preserve"> and are expected to co-operate closely to meet the objectives of the firm and its clients. </w:t>
            </w:r>
          </w:p>
          <w:p w14:paraId="1BC13371" w14:textId="77777777" w:rsidR="00A3327B" w:rsidRPr="00446E6D" w:rsidRDefault="00A3327B" w:rsidP="00D23BB9">
            <w:pPr>
              <w:spacing w:after="120"/>
              <w:rPr>
                <w:color w:val="000000" w:themeColor="text1"/>
                <w:sz w:val="18"/>
                <w:szCs w:val="18"/>
              </w:rPr>
            </w:pPr>
            <w:r w:rsidRPr="00446E6D">
              <w:rPr>
                <w:color w:val="000000" w:themeColor="text1"/>
                <w:sz w:val="18"/>
                <w:szCs w:val="18"/>
              </w:rPr>
              <w:lastRenderedPageBreak/>
              <w:t xml:space="preserve">Best Execution obligations continue to apply where J.P. Morgan </w:t>
            </w:r>
            <w:r>
              <w:rPr>
                <w:color w:val="000000" w:themeColor="text1"/>
                <w:sz w:val="18"/>
                <w:szCs w:val="18"/>
              </w:rPr>
              <w:t xml:space="preserve">Securities plc </w:t>
            </w:r>
            <w:r w:rsidRPr="00446E6D">
              <w:rPr>
                <w:color w:val="000000" w:themeColor="text1"/>
                <w:sz w:val="18"/>
                <w:szCs w:val="18"/>
              </w:rPr>
              <w:t>engages either an affiliate or third party for execution.</w:t>
            </w:r>
          </w:p>
        </w:tc>
      </w:tr>
      <w:tr w:rsidR="00A3327B" w:rsidRPr="00446E6D" w14:paraId="5CDA4815" w14:textId="77777777" w:rsidTr="00D23BB9">
        <w:tc>
          <w:tcPr>
            <w:tcW w:w="4410" w:type="dxa"/>
            <w:tcBorders>
              <w:left w:val="single" w:sz="12" w:space="0" w:color="auto"/>
            </w:tcBorders>
            <w:shd w:val="clear" w:color="auto" w:fill="D9D9D9" w:themeFill="background1" w:themeFillShade="D9"/>
          </w:tcPr>
          <w:p w14:paraId="54AAD8D4" w14:textId="77777777" w:rsidR="00A3327B" w:rsidRPr="00446E6D" w:rsidRDefault="00A3327B" w:rsidP="00D23BB9">
            <w:pPr>
              <w:rPr>
                <w:color w:val="000000" w:themeColor="text1"/>
                <w:sz w:val="18"/>
                <w:szCs w:val="18"/>
              </w:rPr>
            </w:pPr>
            <w:r w:rsidRPr="00446E6D">
              <w:rPr>
                <w:color w:val="000000" w:themeColor="text1"/>
                <w:sz w:val="18"/>
                <w:szCs w:val="18"/>
              </w:rPr>
              <w:lastRenderedPageBreak/>
              <w:t>Specific receiving firm arrangements</w:t>
            </w:r>
          </w:p>
        </w:tc>
        <w:tc>
          <w:tcPr>
            <w:tcW w:w="9990" w:type="dxa"/>
            <w:tcBorders>
              <w:right w:val="single" w:sz="12" w:space="0" w:color="auto"/>
            </w:tcBorders>
          </w:tcPr>
          <w:p w14:paraId="394D12E2" w14:textId="77777777" w:rsidR="00A3327B" w:rsidRPr="00446E6D" w:rsidRDefault="00A3327B" w:rsidP="00D23BB9">
            <w:pPr>
              <w:spacing w:after="120"/>
              <w:rPr>
                <w:color w:val="000000" w:themeColor="text1"/>
                <w:sz w:val="18"/>
                <w:szCs w:val="18"/>
              </w:rPr>
            </w:pPr>
            <w:r w:rsidRPr="00446E6D">
              <w:rPr>
                <w:color w:val="000000" w:themeColor="text1"/>
                <w:sz w:val="18"/>
                <w:szCs w:val="18"/>
              </w:rPr>
              <w:t xml:space="preserve">There are no such specific arrangements with the receiving firms. </w:t>
            </w:r>
          </w:p>
        </w:tc>
      </w:tr>
      <w:tr w:rsidR="00A3327B" w:rsidRPr="00446E6D" w14:paraId="5E097DEF" w14:textId="77777777" w:rsidTr="00D23BB9">
        <w:tc>
          <w:tcPr>
            <w:tcW w:w="4410" w:type="dxa"/>
            <w:tcBorders>
              <w:left w:val="single" w:sz="12" w:space="0" w:color="auto"/>
            </w:tcBorders>
            <w:shd w:val="clear" w:color="auto" w:fill="D9D9D9" w:themeFill="background1" w:themeFillShade="D9"/>
          </w:tcPr>
          <w:p w14:paraId="3D0C419E" w14:textId="77777777" w:rsidR="00A3327B" w:rsidRPr="00446E6D" w:rsidRDefault="00A3327B" w:rsidP="00D23BB9">
            <w:pPr>
              <w:rPr>
                <w:color w:val="000000" w:themeColor="text1"/>
                <w:sz w:val="18"/>
                <w:szCs w:val="18"/>
              </w:rPr>
            </w:pPr>
            <w:r w:rsidRPr="00446E6D">
              <w:rPr>
                <w:color w:val="000000" w:themeColor="text1"/>
                <w:sz w:val="18"/>
                <w:szCs w:val="18"/>
              </w:rPr>
              <w:t>Changes to receiving firms</w:t>
            </w:r>
          </w:p>
        </w:tc>
        <w:tc>
          <w:tcPr>
            <w:tcW w:w="9990" w:type="dxa"/>
            <w:tcBorders>
              <w:right w:val="single" w:sz="12" w:space="0" w:color="auto"/>
            </w:tcBorders>
          </w:tcPr>
          <w:p w14:paraId="1A3E2B22" w14:textId="77777777" w:rsidR="00A3327B" w:rsidRPr="00446E6D" w:rsidRDefault="00A3327B" w:rsidP="00D23BB9">
            <w:pPr>
              <w:spacing w:after="120"/>
              <w:rPr>
                <w:color w:val="000000" w:themeColor="text1"/>
                <w:sz w:val="18"/>
                <w:szCs w:val="18"/>
              </w:rPr>
            </w:pPr>
            <w:r w:rsidRPr="00446E6D">
              <w:rPr>
                <w:color w:val="000000" w:themeColor="text1"/>
                <w:sz w:val="18"/>
                <w:szCs w:val="18"/>
              </w:rPr>
              <w:t>Not Applicable</w:t>
            </w:r>
          </w:p>
        </w:tc>
      </w:tr>
      <w:tr w:rsidR="00A3327B" w:rsidRPr="00446E6D" w14:paraId="4D91D572" w14:textId="77777777" w:rsidTr="00D23BB9">
        <w:tc>
          <w:tcPr>
            <w:tcW w:w="4410" w:type="dxa"/>
            <w:tcBorders>
              <w:left w:val="single" w:sz="12" w:space="0" w:color="auto"/>
            </w:tcBorders>
            <w:shd w:val="clear" w:color="auto" w:fill="D9D9D9" w:themeFill="background1" w:themeFillShade="D9"/>
          </w:tcPr>
          <w:p w14:paraId="2D3117B6" w14:textId="77777777" w:rsidR="00A3327B" w:rsidRPr="00446E6D" w:rsidRDefault="00A3327B" w:rsidP="00D23BB9">
            <w:pPr>
              <w:rPr>
                <w:color w:val="000000" w:themeColor="text1"/>
                <w:sz w:val="18"/>
                <w:szCs w:val="18"/>
              </w:rPr>
            </w:pPr>
            <w:r w:rsidRPr="00446E6D">
              <w:rPr>
                <w:color w:val="000000" w:themeColor="text1"/>
                <w:sz w:val="18"/>
                <w:szCs w:val="18"/>
              </w:rPr>
              <w:t>Client distinctions</w:t>
            </w:r>
          </w:p>
        </w:tc>
        <w:tc>
          <w:tcPr>
            <w:tcW w:w="9990" w:type="dxa"/>
            <w:tcBorders>
              <w:right w:val="single" w:sz="12" w:space="0" w:color="auto"/>
            </w:tcBorders>
          </w:tcPr>
          <w:p w14:paraId="4F676B72" w14:textId="77777777" w:rsidR="00A3327B" w:rsidRPr="00446E6D" w:rsidRDefault="00A3327B" w:rsidP="00D23BB9">
            <w:pPr>
              <w:spacing w:after="120"/>
              <w:rPr>
                <w:color w:val="000000" w:themeColor="text1"/>
                <w:sz w:val="18"/>
                <w:szCs w:val="18"/>
              </w:rPr>
            </w:pPr>
            <w:r w:rsidRPr="00446E6D">
              <w:rPr>
                <w:color w:val="000000" w:themeColor="text1"/>
                <w:sz w:val="18"/>
                <w:szCs w:val="18"/>
              </w:rPr>
              <w:t>Our arrangements do not differ by client categorization.</w:t>
            </w:r>
          </w:p>
        </w:tc>
      </w:tr>
      <w:tr w:rsidR="00A3327B" w:rsidRPr="00446E6D" w14:paraId="0B5A1E6A" w14:textId="77777777" w:rsidTr="00D23BB9">
        <w:tc>
          <w:tcPr>
            <w:tcW w:w="4410" w:type="dxa"/>
            <w:tcBorders>
              <w:left w:val="single" w:sz="12" w:space="0" w:color="auto"/>
            </w:tcBorders>
            <w:shd w:val="clear" w:color="auto" w:fill="D9D9D9" w:themeFill="background1" w:themeFillShade="D9"/>
          </w:tcPr>
          <w:p w14:paraId="6EB658DE" w14:textId="77777777" w:rsidR="00A3327B" w:rsidRPr="00446E6D" w:rsidRDefault="00A3327B" w:rsidP="00D23BB9">
            <w:pPr>
              <w:rPr>
                <w:color w:val="000000" w:themeColor="text1"/>
                <w:sz w:val="18"/>
                <w:szCs w:val="18"/>
              </w:rPr>
            </w:pPr>
            <w:r w:rsidRPr="00446E6D">
              <w:rPr>
                <w:color w:val="000000" w:themeColor="text1"/>
                <w:sz w:val="18"/>
                <w:szCs w:val="18"/>
              </w:rPr>
              <w:t>Use of data/tools relating to the quality of execution</w:t>
            </w:r>
          </w:p>
        </w:tc>
        <w:tc>
          <w:tcPr>
            <w:tcW w:w="9990" w:type="dxa"/>
            <w:tcBorders>
              <w:right w:val="single" w:sz="12" w:space="0" w:color="auto"/>
            </w:tcBorders>
          </w:tcPr>
          <w:p w14:paraId="647C3069" w14:textId="2C6822D0" w:rsidR="00A3327B" w:rsidRPr="00446E6D" w:rsidRDefault="00A3327B" w:rsidP="008A2E74">
            <w:pPr>
              <w:spacing w:after="120"/>
              <w:rPr>
                <w:i/>
                <w:color w:val="000000" w:themeColor="text1"/>
                <w:sz w:val="18"/>
                <w:szCs w:val="18"/>
              </w:rPr>
            </w:pPr>
            <w:r w:rsidRPr="00446E6D">
              <w:rPr>
                <w:color w:val="000000" w:themeColor="text1"/>
                <w:sz w:val="18"/>
                <w:szCs w:val="18"/>
              </w:rPr>
              <w:t xml:space="preserve">As per Appendix 3 of the </w:t>
            </w:r>
            <w:hyperlink r:id="rId13" w:history="1">
              <w:r w:rsidRPr="00446E6D">
                <w:rPr>
                  <w:rStyle w:val="Hyperlink"/>
                  <w:color w:val="000000" w:themeColor="text1"/>
                  <w:sz w:val="18"/>
                  <w:szCs w:val="18"/>
                </w:rPr>
                <w:t>J.P. Morgan’s Execution Policy,</w:t>
              </w:r>
            </w:hyperlink>
            <w:r w:rsidRPr="00446E6D">
              <w:rPr>
                <w:color w:val="000000" w:themeColor="text1"/>
                <w:sz w:val="18"/>
                <w:szCs w:val="18"/>
              </w:rPr>
              <w:t xml:space="preserve"> J.P. Morgan</w:t>
            </w:r>
            <w:r>
              <w:rPr>
                <w:color w:val="000000" w:themeColor="text1"/>
                <w:sz w:val="18"/>
                <w:szCs w:val="18"/>
              </w:rPr>
              <w:t xml:space="preserve"> Securities plc</w:t>
            </w:r>
            <w:r w:rsidRPr="00446E6D">
              <w:rPr>
                <w:color w:val="000000" w:themeColor="text1"/>
                <w:sz w:val="18"/>
                <w:szCs w:val="18"/>
              </w:rPr>
              <w:t xml:space="preserve"> </w:t>
            </w:r>
            <w:r>
              <w:rPr>
                <w:color w:val="000000" w:themeColor="text1"/>
                <w:sz w:val="18"/>
                <w:szCs w:val="18"/>
              </w:rPr>
              <w:t>monitors</w:t>
            </w:r>
            <w:r w:rsidRPr="00446E6D">
              <w:rPr>
                <w:color w:val="000000" w:themeColor="text1"/>
                <w:sz w:val="18"/>
                <w:szCs w:val="18"/>
              </w:rPr>
              <w:t xml:space="preserve"> the effectiveness of its execution arrangements and assess</w:t>
            </w:r>
            <w:r>
              <w:rPr>
                <w:color w:val="000000" w:themeColor="text1"/>
                <w:sz w:val="18"/>
                <w:szCs w:val="18"/>
              </w:rPr>
              <w:t>es</w:t>
            </w:r>
            <w:r w:rsidRPr="00446E6D">
              <w:rPr>
                <w:color w:val="000000" w:themeColor="text1"/>
                <w:sz w:val="18"/>
                <w:szCs w:val="18"/>
              </w:rPr>
              <w:t xml:space="preserve"> on a regular basis whether the execution venues it has selected provide for the best possible result for orders it executes on behalf</w:t>
            </w:r>
            <w:r>
              <w:rPr>
                <w:color w:val="000000" w:themeColor="text1"/>
                <w:sz w:val="18"/>
                <w:szCs w:val="18"/>
              </w:rPr>
              <w:t xml:space="preserve"> of its clients</w:t>
            </w:r>
            <w:r w:rsidRPr="00446E6D">
              <w:rPr>
                <w:color w:val="000000" w:themeColor="text1"/>
                <w:sz w:val="18"/>
                <w:szCs w:val="18"/>
              </w:rPr>
              <w:t xml:space="preserve">. </w:t>
            </w:r>
            <w:r w:rsidRPr="009E6DAA">
              <w:rPr>
                <w:sz w:val="18"/>
                <w:szCs w:val="18"/>
              </w:rPr>
              <w:t>Both readily available market data and J.P. Morgan internal transaction data are used to assess the quality of execution for in-scope orders</w:t>
            </w:r>
            <w:r>
              <w:rPr>
                <w:color w:val="000000" w:themeColor="text1"/>
                <w:sz w:val="18"/>
                <w:szCs w:val="18"/>
              </w:rPr>
              <w:t xml:space="preserve">. </w:t>
            </w:r>
            <w:r w:rsidRPr="00446E6D">
              <w:rPr>
                <w:color w:val="000000" w:themeColor="text1"/>
                <w:sz w:val="18"/>
                <w:szCs w:val="18"/>
              </w:rPr>
              <w:t xml:space="preserve">Thresholds comparing execution factors with </w:t>
            </w:r>
            <w:r>
              <w:rPr>
                <w:color w:val="000000" w:themeColor="text1"/>
                <w:sz w:val="18"/>
                <w:szCs w:val="18"/>
              </w:rPr>
              <w:t>such</w:t>
            </w:r>
            <w:r w:rsidRPr="00446E6D">
              <w:rPr>
                <w:color w:val="000000" w:themeColor="text1"/>
                <w:sz w:val="18"/>
                <w:szCs w:val="18"/>
              </w:rPr>
              <w:t xml:space="preserve">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A3327B" w:rsidRPr="00446E6D" w14:paraId="557E5B9F" w14:textId="77777777" w:rsidTr="00D23BB9">
        <w:tc>
          <w:tcPr>
            <w:tcW w:w="4410" w:type="dxa"/>
            <w:tcBorders>
              <w:left w:val="single" w:sz="12" w:space="0" w:color="auto"/>
            </w:tcBorders>
            <w:shd w:val="clear" w:color="auto" w:fill="D9D9D9" w:themeFill="background1" w:themeFillShade="D9"/>
          </w:tcPr>
          <w:p w14:paraId="1B4D7C10" w14:textId="77777777" w:rsidR="00A3327B" w:rsidRPr="00446E6D" w:rsidRDefault="00A3327B" w:rsidP="00D23BB9">
            <w:pPr>
              <w:rPr>
                <w:color w:val="000000" w:themeColor="text1"/>
                <w:sz w:val="18"/>
                <w:szCs w:val="18"/>
              </w:rPr>
            </w:pPr>
            <w:r w:rsidRPr="00446E6D">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069D2418" w14:textId="77777777" w:rsidR="00A3327B" w:rsidRPr="00446E6D" w:rsidRDefault="00A3327B" w:rsidP="00D23BB9">
            <w:pPr>
              <w:spacing w:after="120"/>
              <w:rPr>
                <w:i/>
                <w:color w:val="000000" w:themeColor="text1"/>
                <w:sz w:val="18"/>
                <w:szCs w:val="18"/>
              </w:rPr>
            </w:pPr>
            <w:r w:rsidRPr="00446E6D">
              <w:rPr>
                <w:color w:val="000000" w:themeColor="text1"/>
                <w:sz w:val="18"/>
                <w:szCs w:val="18"/>
              </w:rPr>
              <w:t>Not Applicable</w:t>
            </w:r>
          </w:p>
        </w:tc>
      </w:tr>
    </w:tbl>
    <w:p w14:paraId="6B8DD7B9" w14:textId="77777777" w:rsidR="00A3327B" w:rsidRPr="00446E6D" w:rsidRDefault="00A3327B" w:rsidP="00A3327B">
      <w:pPr>
        <w:rPr>
          <w:color w:val="000000" w:themeColor="text1"/>
        </w:rPr>
      </w:pPr>
    </w:p>
    <w:p w14:paraId="3B50E296" w14:textId="77777777" w:rsidR="00F5114E" w:rsidRPr="00F5114E" w:rsidRDefault="00F5114E" w:rsidP="008D0EE2">
      <w:pPr>
        <w:rPr>
          <w:b/>
          <w:color w:val="FF0000"/>
        </w:rPr>
      </w:pPr>
    </w:p>
    <w:sectPr w:rsidR="00F5114E" w:rsidRPr="00F5114E" w:rsidSect="00791919">
      <w:footerReference w:type="default" r:id="rId14"/>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992A0" w14:textId="77777777" w:rsidR="00053C8D" w:rsidRDefault="00053C8D" w:rsidP="00791919">
      <w:pPr>
        <w:spacing w:after="0" w:line="240" w:lineRule="auto"/>
      </w:pPr>
      <w:r>
        <w:separator/>
      </w:r>
    </w:p>
  </w:endnote>
  <w:endnote w:type="continuationSeparator" w:id="0">
    <w:p w14:paraId="359992A1" w14:textId="77777777" w:rsidR="00053C8D" w:rsidRDefault="00053C8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A3" w14:textId="15319D0C" w:rsidR="00791919" w:rsidRPr="002A3033" w:rsidRDefault="002A3033" w:rsidP="002A3033">
    <w:pPr>
      <w:rPr>
        <w:sz w:val="18"/>
        <w:szCs w:val="18"/>
      </w:rPr>
    </w:pPr>
    <w:r>
      <w:rPr>
        <w:sz w:val="18"/>
        <w:szCs w:val="18"/>
      </w:rPr>
      <w:t xml:space="preserve">J.P. Morgan Securities </w:t>
    </w:r>
    <w:r w:rsidR="00144CA4">
      <w:rPr>
        <w:sz w:val="18"/>
        <w:szCs w:val="18"/>
      </w:rPr>
      <w:t>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359992A4" wp14:editId="359992A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59992A8" w14:textId="133C711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9992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359992A8" w14:textId="133C711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59992A6" wp14:editId="359992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E27F747"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929E" w14:textId="77777777" w:rsidR="00053C8D" w:rsidRDefault="00053C8D" w:rsidP="00791919">
      <w:pPr>
        <w:spacing w:after="0" w:line="240" w:lineRule="auto"/>
      </w:pPr>
      <w:r>
        <w:separator/>
      </w:r>
    </w:p>
  </w:footnote>
  <w:footnote w:type="continuationSeparator" w:id="0">
    <w:p w14:paraId="3599929F" w14:textId="77777777" w:rsidR="00053C8D" w:rsidRDefault="00053C8D"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994EB3"/>
    <w:multiLevelType w:val="hybridMultilevel"/>
    <w:tmpl w:val="030AF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22D6"/>
    <w:rsid w:val="00023BCD"/>
    <w:rsid w:val="000254A4"/>
    <w:rsid w:val="0004157E"/>
    <w:rsid w:val="000469E1"/>
    <w:rsid w:val="00053C8D"/>
    <w:rsid w:val="000571DC"/>
    <w:rsid w:val="000615FB"/>
    <w:rsid w:val="000A65FD"/>
    <w:rsid w:val="000B29B9"/>
    <w:rsid w:val="000B3236"/>
    <w:rsid w:val="000C75E5"/>
    <w:rsid w:val="00102EB3"/>
    <w:rsid w:val="00141597"/>
    <w:rsid w:val="00144CA4"/>
    <w:rsid w:val="0019028B"/>
    <w:rsid w:val="001A5558"/>
    <w:rsid w:val="001D0CA7"/>
    <w:rsid w:val="001D7E89"/>
    <w:rsid w:val="001E4046"/>
    <w:rsid w:val="00205B85"/>
    <w:rsid w:val="00210DEB"/>
    <w:rsid w:val="00217666"/>
    <w:rsid w:val="00236BCE"/>
    <w:rsid w:val="002A3033"/>
    <w:rsid w:val="002B39A0"/>
    <w:rsid w:val="002D07D7"/>
    <w:rsid w:val="002D1780"/>
    <w:rsid w:val="002D35DE"/>
    <w:rsid w:val="003008C6"/>
    <w:rsid w:val="00307A3E"/>
    <w:rsid w:val="0035063A"/>
    <w:rsid w:val="003537EB"/>
    <w:rsid w:val="00374F5C"/>
    <w:rsid w:val="003914E5"/>
    <w:rsid w:val="003A6015"/>
    <w:rsid w:val="003C48D4"/>
    <w:rsid w:val="0043535A"/>
    <w:rsid w:val="0047552E"/>
    <w:rsid w:val="005110F9"/>
    <w:rsid w:val="00520E03"/>
    <w:rsid w:val="00656ECF"/>
    <w:rsid w:val="00670277"/>
    <w:rsid w:val="006B0D5E"/>
    <w:rsid w:val="006C314A"/>
    <w:rsid w:val="006C74EF"/>
    <w:rsid w:val="0071640F"/>
    <w:rsid w:val="00726408"/>
    <w:rsid w:val="007332EE"/>
    <w:rsid w:val="00774C60"/>
    <w:rsid w:val="00791919"/>
    <w:rsid w:val="007A6941"/>
    <w:rsid w:val="007B228E"/>
    <w:rsid w:val="007E0BB1"/>
    <w:rsid w:val="00804E0D"/>
    <w:rsid w:val="008475F2"/>
    <w:rsid w:val="00861DC6"/>
    <w:rsid w:val="00881418"/>
    <w:rsid w:val="008A2E74"/>
    <w:rsid w:val="008C2482"/>
    <w:rsid w:val="008C3D9F"/>
    <w:rsid w:val="008D0EE2"/>
    <w:rsid w:val="008E595C"/>
    <w:rsid w:val="00901F44"/>
    <w:rsid w:val="00902C96"/>
    <w:rsid w:val="00912863"/>
    <w:rsid w:val="00917912"/>
    <w:rsid w:val="00920127"/>
    <w:rsid w:val="009203A5"/>
    <w:rsid w:val="00934B2A"/>
    <w:rsid w:val="0095612A"/>
    <w:rsid w:val="00965D08"/>
    <w:rsid w:val="009802F7"/>
    <w:rsid w:val="00987336"/>
    <w:rsid w:val="009B3987"/>
    <w:rsid w:val="009B78CC"/>
    <w:rsid w:val="009E754E"/>
    <w:rsid w:val="00A07CEE"/>
    <w:rsid w:val="00A3327B"/>
    <w:rsid w:val="00A47BAA"/>
    <w:rsid w:val="00A54A2F"/>
    <w:rsid w:val="00A75BFF"/>
    <w:rsid w:val="00A872C5"/>
    <w:rsid w:val="00AA05D1"/>
    <w:rsid w:val="00AA5380"/>
    <w:rsid w:val="00AB0DFE"/>
    <w:rsid w:val="00AD1EBB"/>
    <w:rsid w:val="00AE1027"/>
    <w:rsid w:val="00AE1F1F"/>
    <w:rsid w:val="00AE4966"/>
    <w:rsid w:val="00B011C5"/>
    <w:rsid w:val="00B87544"/>
    <w:rsid w:val="00B90C5F"/>
    <w:rsid w:val="00B92AAF"/>
    <w:rsid w:val="00BB2060"/>
    <w:rsid w:val="00BE6154"/>
    <w:rsid w:val="00C20924"/>
    <w:rsid w:val="00C21622"/>
    <w:rsid w:val="00C302FD"/>
    <w:rsid w:val="00C8611B"/>
    <w:rsid w:val="00CC4589"/>
    <w:rsid w:val="00CF1737"/>
    <w:rsid w:val="00CF30DA"/>
    <w:rsid w:val="00CF3F2E"/>
    <w:rsid w:val="00D4069F"/>
    <w:rsid w:val="00DD2993"/>
    <w:rsid w:val="00E063FD"/>
    <w:rsid w:val="00E35679"/>
    <w:rsid w:val="00E73067"/>
    <w:rsid w:val="00E845ED"/>
    <w:rsid w:val="00EE008A"/>
    <w:rsid w:val="00EE09DB"/>
    <w:rsid w:val="00F010E3"/>
    <w:rsid w:val="00F24840"/>
    <w:rsid w:val="00F32671"/>
    <w:rsid w:val="00F5114E"/>
    <w:rsid w:val="00FC574E"/>
    <w:rsid w:val="00FD4180"/>
    <w:rsid w:val="00FE46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599925A"/>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ListParagraph">
    <w:name w:val="List Paragraph"/>
    <w:basedOn w:val="Normal"/>
    <w:uiPriority w:val="34"/>
    <w:qFormat/>
    <w:rsid w:val="00CF3F2E"/>
    <w:pPr>
      <w:ind w:left="720"/>
      <w:contextualSpacing/>
    </w:pPr>
  </w:style>
  <w:style w:type="character" w:styleId="Hyperlink">
    <w:name w:val="Hyperlink"/>
    <w:basedOn w:val="DefaultParagraphFont"/>
    <w:uiPriority w:val="99"/>
    <w:unhideWhenUsed/>
    <w:rsid w:val="00774C60"/>
    <w:rPr>
      <w:color w:val="0000FF" w:themeColor="hyperlink"/>
      <w:u w:val="single"/>
    </w:rPr>
  </w:style>
  <w:style w:type="character" w:styleId="CommentReference">
    <w:name w:val="annotation reference"/>
    <w:basedOn w:val="DefaultParagraphFont"/>
    <w:uiPriority w:val="99"/>
    <w:semiHidden/>
    <w:unhideWhenUsed/>
    <w:rsid w:val="000222D6"/>
    <w:rPr>
      <w:sz w:val="16"/>
      <w:szCs w:val="16"/>
    </w:rPr>
  </w:style>
  <w:style w:type="paragraph" w:styleId="CommentText">
    <w:name w:val="annotation text"/>
    <w:basedOn w:val="Normal"/>
    <w:link w:val="CommentTextChar"/>
    <w:uiPriority w:val="99"/>
    <w:unhideWhenUsed/>
    <w:rsid w:val="000222D6"/>
    <w:pPr>
      <w:spacing w:line="240" w:lineRule="auto"/>
    </w:pPr>
    <w:rPr>
      <w:sz w:val="20"/>
      <w:szCs w:val="20"/>
    </w:rPr>
  </w:style>
  <w:style w:type="character" w:customStyle="1" w:styleId="CommentTextChar">
    <w:name w:val="Comment Text Char"/>
    <w:basedOn w:val="DefaultParagraphFont"/>
    <w:link w:val="CommentText"/>
    <w:uiPriority w:val="99"/>
    <w:rsid w:val="000222D6"/>
    <w:rPr>
      <w:sz w:val="20"/>
      <w:szCs w:val="20"/>
    </w:rPr>
  </w:style>
  <w:style w:type="paragraph" w:styleId="CommentSubject">
    <w:name w:val="annotation subject"/>
    <w:basedOn w:val="CommentText"/>
    <w:next w:val="CommentText"/>
    <w:link w:val="CommentSubjectChar"/>
    <w:uiPriority w:val="99"/>
    <w:semiHidden/>
    <w:unhideWhenUsed/>
    <w:rsid w:val="000222D6"/>
    <w:rPr>
      <w:b/>
      <w:bCs/>
    </w:rPr>
  </w:style>
  <w:style w:type="character" w:customStyle="1" w:styleId="CommentSubjectChar">
    <w:name w:val="Comment Subject Char"/>
    <w:basedOn w:val="CommentTextChar"/>
    <w:link w:val="CommentSubject"/>
    <w:uiPriority w:val="99"/>
    <w:semiHidden/>
    <w:rsid w:val="000222D6"/>
    <w:rPr>
      <w:b/>
      <w:bCs/>
      <w:sz w:val="20"/>
      <w:szCs w:val="20"/>
    </w:rPr>
  </w:style>
  <w:style w:type="character" w:styleId="FollowedHyperlink">
    <w:name w:val="FollowedHyperlink"/>
    <w:basedOn w:val="DefaultParagraphFont"/>
    <w:uiPriority w:val="99"/>
    <w:semiHidden/>
    <w:unhideWhenUsed/>
    <w:rsid w:val="001902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0582">
      <w:bodyDiv w:val="1"/>
      <w:marLeft w:val="0"/>
      <w:marRight w:val="0"/>
      <w:marTop w:val="0"/>
      <w:marBottom w:val="0"/>
      <w:divBdr>
        <w:top w:val="none" w:sz="0" w:space="0" w:color="auto"/>
        <w:left w:val="none" w:sz="0" w:space="0" w:color="auto"/>
        <w:bottom w:val="none" w:sz="0" w:space="0" w:color="auto"/>
        <w:right w:val="none" w:sz="0" w:space="0" w:color="auto"/>
      </w:divBdr>
    </w:div>
    <w:div w:id="179902432">
      <w:bodyDiv w:val="1"/>
      <w:marLeft w:val="0"/>
      <w:marRight w:val="0"/>
      <w:marTop w:val="0"/>
      <w:marBottom w:val="0"/>
      <w:divBdr>
        <w:top w:val="none" w:sz="0" w:space="0" w:color="auto"/>
        <w:left w:val="none" w:sz="0" w:space="0" w:color="auto"/>
        <w:bottom w:val="none" w:sz="0" w:space="0" w:color="auto"/>
        <w:right w:val="none" w:sz="0" w:space="0" w:color="auto"/>
      </w:divBdr>
    </w:div>
    <w:div w:id="1532839381">
      <w:bodyDiv w:val="1"/>
      <w:marLeft w:val="0"/>
      <w:marRight w:val="0"/>
      <w:marTop w:val="0"/>
      <w:marBottom w:val="0"/>
      <w:divBdr>
        <w:top w:val="none" w:sz="0" w:space="0" w:color="auto"/>
        <w:left w:val="none" w:sz="0" w:space="0" w:color="auto"/>
        <w:bottom w:val="none" w:sz="0" w:space="0" w:color="auto"/>
        <w:right w:val="none" w:sz="0" w:space="0" w:color="auto"/>
      </w:divBdr>
    </w:div>
    <w:div w:id="1542668507">
      <w:bodyDiv w:val="1"/>
      <w:marLeft w:val="0"/>
      <w:marRight w:val="0"/>
      <w:marTop w:val="0"/>
      <w:marBottom w:val="0"/>
      <w:divBdr>
        <w:top w:val="none" w:sz="0" w:space="0" w:color="auto"/>
        <w:left w:val="none" w:sz="0" w:space="0" w:color="auto"/>
        <w:bottom w:val="none" w:sz="0" w:space="0" w:color="auto"/>
        <w:right w:val="none" w:sz="0" w:space="0" w:color="auto"/>
      </w:divBdr>
    </w:div>
    <w:div w:id="1762413907">
      <w:bodyDiv w:val="1"/>
      <w:marLeft w:val="0"/>
      <w:marRight w:val="0"/>
      <w:marTop w:val="0"/>
      <w:marBottom w:val="0"/>
      <w:divBdr>
        <w:top w:val="none" w:sz="0" w:space="0" w:color="auto"/>
        <w:left w:val="none" w:sz="0" w:space="0" w:color="auto"/>
        <w:bottom w:val="none" w:sz="0" w:space="0" w:color="auto"/>
        <w:right w:val="none" w:sz="0" w:space="0" w:color="auto"/>
      </w:divBdr>
    </w:div>
    <w:div w:id="1778215516">
      <w:bodyDiv w:val="1"/>
      <w:marLeft w:val="0"/>
      <w:marRight w:val="0"/>
      <w:marTop w:val="0"/>
      <w:marBottom w:val="0"/>
      <w:divBdr>
        <w:top w:val="none" w:sz="0" w:space="0" w:color="auto"/>
        <w:left w:val="none" w:sz="0" w:space="0" w:color="auto"/>
        <w:bottom w:val="none" w:sz="0" w:space="0" w:color="auto"/>
        <w:right w:val="none" w:sz="0" w:space="0" w:color="auto"/>
      </w:divBdr>
    </w:div>
    <w:div w:id="18232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jpmpdf/1320748011586.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morgan.com/jpmpdf/1320748011586.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jpmpdf/1320748011586.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0F255-224F-4D4E-BCFA-88685F1F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000CAE-4418-4791-AD06-A5B946A7C059}">
  <ds:schemaRef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7d1f7825-6765-4743-817d-89ed4ea58d40"/>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0421DEE3-1054-4096-BA59-2BC4B51DCAA0}">
  <ds:schemaRefs>
    <ds:schemaRef ds:uri="http://schemas.microsoft.com/sharepoint/v3/contenttype/forms"/>
  </ds:schemaRefs>
</ds:datastoreItem>
</file>

<file path=customXml/itemProps4.xml><?xml version="1.0" encoding="utf-8"?>
<ds:datastoreItem xmlns:ds="http://schemas.openxmlformats.org/officeDocument/2006/customXml" ds:itemID="{29D18D3B-E13F-40A0-965B-4227DDBB9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1264</Words>
  <Characters>7206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8454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Securities PLC</dc:creator>
  <cp:lastModifiedBy>Ruchman, Adam T (CIB OPS, GBR)</cp:lastModifiedBy>
  <cp:revision>4</cp:revision>
  <cp:lastPrinted>2019-05-28T10:53:00Z</cp:lastPrinted>
  <dcterms:created xsi:type="dcterms:W3CDTF">2020-04-30T11:36:00Z</dcterms:created>
  <dcterms:modified xsi:type="dcterms:W3CDTF">2020-04-30T11:41:00Z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