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9925A" w14:textId="77777777" w:rsidR="00EE008A" w:rsidRDefault="00EE008A">
      <w:pPr>
        <w:rPr>
          <w:b/>
        </w:rPr>
      </w:pPr>
    </w:p>
    <w:p w14:paraId="3599925B" w14:textId="77777777"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CF3F2E" w:rsidRPr="003C48D4" w14:paraId="31E49B38"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74E8AEE" w14:textId="2A237728" w:rsidR="00CF3F2E" w:rsidRPr="003C48D4" w:rsidRDefault="00CF3F2E" w:rsidP="00CF3F2E">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7B34C132" w14:textId="4C2B984F" w:rsidR="00CF3F2E" w:rsidRPr="003C48D4" w:rsidRDefault="00CF3F2E" w:rsidP="00CF3F2E">
            <w:pPr>
              <w:rPr>
                <w:sz w:val="18"/>
                <w:szCs w:val="18"/>
              </w:rPr>
            </w:pPr>
            <w:r>
              <w:rPr>
                <w:sz w:val="18"/>
                <w:szCs w:val="18"/>
              </w:rPr>
              <w:t>J.P. Morgan Securities 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p>
        </w:tc>
      </w:tr>
      <w:tr w:rsidR="00CF3F2E" w:rsidRPr="003C48D4" w14:paraId="2792C6D8"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E6EB74E" w14:textId="77777777" w:rsidR="00CF3F2E" w:rsidRPr="003C48D4" w:rsidRDefault="00CF3F2E" w:rsidP="00CF3F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72DE854" w14:textId="1736B2E3" w:rsidR="00374F5C" w:rsidRDefault="00374F5C" w:rsidP="00CF3F2E">
            <w:pPr>
              <w:rPr>
                <w:sz w:val="18"/>
                <w:szCs w:val="18"/>
              </w:rPr>
            </w:pPr>
            <w:r>
              <w:rPr>
                <w:sz w:val="18"/>
                <w:szCs w:val="18"/>
              </w:rPr>
              <w:t xml:space="preserve">Exchange traded products (Exchange traded funds, exchange traded notes and exchange traded commodities)  </w:t>
            </w:r>
          </w:p>
          <w:p w14:paraId="2879762C" w14:textId="77777777" w:rsidR="00CF3F2E" w:rsidRDefault="00CF3F2E" w:rsidP="00CF3F2E">
            <w:pPr>
              <w:rPr>
                <w:sz w:val="18"/>
                <w:szCs w:val="18"/>
              </w:rPr>
            </w:pPr>
            <w:r>
              <w:rPr>
                <w:sz w:val="18"/>
                <w:szCs w:val="18"/>
              </w:rPr>
              <w:t xml:space="preserve">Equities – Shares &amp; Depositary Receipts </w:t>
            </w:r>
          </w:p>
          <w:p w14:paraId="787B26F7" w14:textId="56B7494E" w:rsidR="00374F5C" w:rsidRPr="003C48D4" w:rsidRDefault="00374F5C" w:rsidP="00CF3F2E">
            <w:pPr>
              <w:rPr>
                <w:color w:val="0000FF"/>
                <w:sz w:val="18"/>
                <w:szCs w:val="18"/>
              </w:rPr>
            </w:pPr>
            <w:r>
              <w:rPr>
                <w:sz w:val="18"/>
                <w:szCs w:val="18"/>
              </w:rPr>
              <w:t xml:space="preserve">Other instruments </w:t>
            </w:r>
          </w:p>
        </w:tc>
      </w:tr>
      <w:tr w:rsidR="00CF3F2E" w:rsidRPr="003C48D4" w14:paraId="58B77C94" w14:textId="77777777"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4E322B6" w14:textId="77777777" w:rsidR="00CF3F2E" w:rsidRPr="003C48D4" w:rsidRDefault="00CF3F2E" w:rsidP="00CF3F2E">
            <w:pPr>
              <w:jc w:val="center"/>
              <w:rPr>
                <w:sz w:val="18"/>
                <w:szCs w:val="18"/>
              </w:rPr>
            </w:pPr>
            <w:r w:rsidRPr="003C48D4">
              <w:rPr>
                <w:sz w:val="18"/>
                <w:szCs w:val="18"/>
              </w:rPr>
              <w:t>Summary of Analysis</w:t>
            </w:r>
          </w:p>
        </w:tc>
      </w:tr>
      <w:tr w:rsidR="00CF3F2E" w:rsidRPr="003C48D4" w14:paraId="54F446A7" w14:textId="77777777" w:rsidTr="00EE1980">
        <w:tc>
          <w:tcPr>
            <w:tcW w:w="14400" w:type="dxa"/>
            <w:gridSpan w:val="2"/>
            <w:tcBorders>
              <w:left w:val="single" w:sz="12" w:space="0" w:color="auto"/>
              <w:right w:val="single" w:sz="12" w:space="0" w:color="auto"/>
            </w:tcBorders>
          </w:tcPr>
          <w:p w14:paraId="12331927" w14:textId="77777777" w:rsidR="00CF3F2E" w:rsidRPr="001F5347" w:rsidRDefault="00CF3F2E" w:rsidP="00CF3F2E">
            <w:pPr>
              <w:rPr>
                <w:color w:val="000000" w:themeColor="text1"/>
                <w:sz w:val="18"/>
                <w:szCs w:val="18"/>
              </w:rPr>
            </w:pPr>
          </w:p>
          <w:p w14:paraId="4D58A969" w14:textId="48CCF0DD" w:rsidR="00CF3F2E" w:rsidRPr="001F5347" w:rsidRDefault="00CF3F2E" w:rsidP="00CF3F2E">
            <w:pPr>
              <w:rPr>
                <w:color w:val="000000" w:themeColor="text1"/>
                <w:sz w:val="18"/>
                <w:szCs w:val="18"/>
              </w:rPr>
            </w:pPr>
            <w:r w:rsidRPr="001F5347">
              <w:rPr>
                <w:color w:val="000000" w:themeColor="text1"/>
                <w:sz w:val="18"/>
                <w:szCs w:val="18"/>
              </w:rPr>
              <w:t xml:space="preserve">The majority of client business placed with other firms for execution, </w:t>
            </w:r>
            <w:r>
              <w:rPr>
                <w:color w:val="000000" w:themeColor="text1"/>
                <w:sz w:val="18"/>
                <w:szCs w:val="18"/>
              </w:rPr>
              <w:t>by J.P. Morgan Securities PLC</w:t>
            </w:r>
            <w:r w:rsidRPr="001F5347">
              <w:rPr>
                <w:color w:val="000000" w:themeColor="text1"/>
                <w:sz w:val="18"/>
                <w:szCs w:val="18"/>
              </w:rPr>
              <w:t xml:space="preserve">, related to orders transmitted to other regional J.P. Morgan entities (affiliates) for the purposes of providing access to those markets.  Note that we have classified this business as “directed” on the basis that clients placing business with J.P. Morgan </w:t>
            </w:r>
            <w:r w:rsidR="00881418">
              <w:rPr>
                <w:color w:val="000000" w:themeColor="text1"/>
                <w:sz w:val="18"/>
                <w:szCs w:val="18"/>
              </w:rPr>
              <w:t>Securities PLC</w:t>
            </w:r>
            <w:r w:rsidRPr="001F5347">
              <w:rPr>
                <w:color w:val="000000" w:themeColor="text1"/>
                <w:sz w:val="18"/>
                <w:szCs w:val="18"/>
              </w:rPr>
              <w:t xml:space="preserve"> have a reasonable expectation that it will be executed either directly by J.P. Morgan </w:t>
            </w:r>
            <w:r>
              <w:rPr>
                <w:color w:val="000000" w:themeColor="text1"/>
                <w:sz w:val="18"/>
                <w:szCs w:val="18"/>
              </w:rPr>
              <w:t>Securities PLC</w:t>
            </w:r>
            <w:r w:rsidRPr="001F5347">
              <w:rPr>
                <w:color w:val="000000" w:themeColor="text1"/>
                <w:sz w:val="18"/>
                <w:szCs w:val="18"/>
              </w:rPr>
              <w:t>, or by an affiliate, where possible.</w:t>
            </w:r>
          </w:p>
          <w:p w14:paraId="5D67FC7B" w14:textId="77777777" w:rsidR="00CF3F2E" w:rsidRPr="001F5347" w:rsidRDefault="00CF3F2E" w:rsidP="00CF3F2E">
            <w:pPr>
              <w:rPr>
                <w:color w:val="000000" w:themeColor="text1"/>
                <w:sz w:val="18"/>
                <w:szCs w:val="18"/>
              </w:rPr>
            </w:pPr>
          </w:p>
          <w:p w14:paraId="794DE4A1" w14:textId="77777777" w:rsidR="00CF3F2E" w:rsidRPr="001F5347" w:rsidRDefault="00CF3F2E" w:rsidP="00CF3F2E">
            <w:pPr>
              <w:rPr>
                <w:color w:val="000000" w:themeColor="text1"/>
                <w:sz w:val="18"/>
                <w:szCs w:val="18"/>
              </w:rPr>
            </w:pPr>
            <w:r w:rsidRPr="001F5347">
              <w:rPr>
                <w:color w:val="000000" w:themeColor="text1"/>
                <w:sz w:val="18"/>
                <w:szCs w:val="18"/>
              </w:rPr>
              <w:t>Using our group transaction cost analysis facilities, we have reviewed the execution performance of our affiliated entities.  Taking into account factors such as local market structure, order size, bid/offer spread and market volatility which affect expected execution costs, we found that the performance achieved for our clients by those entities was comparable to that which we would have expected to achieve with our own execution arrangements.  Given that a primary reason for using affiliated entities for execution is to achieve consistency of order handling practices, these results were the expected results and indicate that the arrangements of our affiliate entities are sufficient to provide the best possible results for our clients.</w:t>
            </w:r>
          </w:p>
          <w:p w14:paraId="3C48EE8C" w14:textId="77777777" w:rsidR="00CF3F2E" w:rsidRPr="001F5347" w:rsidRDefault="00CF3F2E" w:rsidP="00CF3F2E">
            <w:pPr>
              <w:rPr>
                <w:color w:val="000000" w:themeColor="text1"/>
                <w:sz w:val="18"/>
                <w:szCs w:val="18"/>
              </w:rPr>
            </w:pPr>
          </w:p>
        </w:tc>
      </w:tr>
      <w:tr w:rsidR="00CF3F2E" w:rsidRPr="003C48D4" w14:paraId="7C574E10" w14:textId="77777777" w:rsidTr="00EE1980">
        <w:tc>
          <w:tcPr>
            <w:tcW w:w="4410" w:type="dxa"/>
            <w:tcBorders>
              <w:left w:val="single" w:sz="12" w:space="0" w:color="auto"/>
            </w:tcBorders>
            <w:shd w:val="clear" w:color="auto" w:fill="D9D9D9" w:themeFill="background1" w:themeFillShade="D9"/>
          </w:tcPr>
          <w:p w14:paraId="3A474DAF" w14:textId="77777777" w:rsidR="00CF3F2E" w:rsidRPr="001F5347" w:rsidRDefault="00CF3F2E" w:rsidP="00CF3F2E">
            <w:pPr>
              <w:rPr>
                <w:color w:val="000000" w:themeColor="text1"/>
                <w:sz w:val="18"/>
                <w:szCs w:val="18"/>
              </w:rPr>
            </w:pPr>
            <w:r w:rsidRPr="001F5347">
              <w:rPr>
                <w:color w:val="000000" w:themeColor="text1"/>
                <w:sz w:val="18"/>
                <w:szCs w:val="18"/>
              </w:rPr>
              <w:t>Relative importance given to execution factors &amp; other considerations</w:t>
            </w:r>
          </w:p>
        </w:tc>
        <w:tc>
          <w:tcPr>
            <w:tcW w:w="9990" w:type="dxa"/>
            <w:tcBorders>
              <w:right w:val="single" w:sz="12" w:space="0" w:color="auto"/>
            </w:tcBorders>
          </w:tcPr>
          <w:p w14:paraId="5C7C0452" w14:textId="209D69A5" w:rsidR="00CF3F2E" w:rsidRPr="001F5347" w:rsidRDefault="00CF3F2E" w:rsidP="00CF3F2E">
            <w:pPr>
              <w:spacing w:after="120"/>
              <w:rPr>
                <w:color w:val="000000" w:themeColor="text1"/>
                <w:sz w:val="18"/>
                <w:szCs w:val="18"/>
              </w:rPr>
            </w:pPr>
            <w:r w:rsidRPr="001F5347">
              <w:rPr>
                <w:color w:val="000000" w:themeColor="text1"/>
                <w:sz w:val="18"/>
                <w:szCs w:val="18"/>
              </w:rPr>
              <w:t xml:space="preserve">Where possible, we use affiliates  when executing business in  regions to which </w:t>
            </w:r>
            <w:r>
              <w:rPr>
                <w:color w:val="000000" w:themeColor="text1"/>
                <w:sz w:val="18"/>
                <w:szCs w:val="18"/>
              </w:rPr>
              <w:t>J.P. Morgan Securities PLC</w:t>
            </w:r>
            <w:r w:rsidRPr="001F5347">
              <w:rPr>
                <w:color w:val="000000" w:themeColor="text1"/>
                <w:sz w:val="18"/>
                <w:szCs w:val="18"/>
              </w:rPr>
              <w:t xml:space="preserve"> does not have access, because we believe, that in doing so, we retain the following benefits for our clients: </w:t>
            </w:r>
          </w:p>
          <w:p w14:paraId="1CBE9E26" w14:textId="77777777" w:rsidR="00CF3F2E" w:rsidRPr="001F5347" w:rsidRDefault="00CF3F2E" w:rsidP="00CF3F2E">
            <w:pPr>
              <w:pStyle w:val="ListParagraph"/>
              <w:numPr>
                <w:ilvl w:val="0"/>
                <w:numId w:val="2"/>
              </w:numPr>
              <w:spacing w:after="120"/>
              <w:rPr>
                <w:color w:val="000000" w:themeColor="text1"/>
                <w:sz w:val="18"/>
                <w:szCs w:val="18"/>
              </w:rPr>
            </w:pPr>
            <w:r w:rsidRPr="001F5347">
              <w:rPr>
                <w:color w:val="000000" w:themeColor="text1"/>
                <w:sz w:val="18"/>
                <w:szCs w:val="18"/>
              </w:rPr>
              <w:t>consistency of order handling practices</w:t>
            </w:r>
          </w:p>
          <w:p w14:paraId="57C5E1E8" w14:textId="77777777" w:rsidR="00CF3F2E" w:rsidRPr="001F5347" w:rsidRDefault="00CF3F2E" w:rsidP="00CF3F2E">
            <w:pPr>
              <w:pStyle w:val="ListParagraph"/>
              <w:numPr>
                <w:ilvl w:val="0"/>
                <w:numId w:val="2"/>
              </w:numPr>
              <w:spacing w:after="120"/>
              <w:rPr>
                <w:color w:val="000000" w:themeColor="text1"/>
                <w:sz w:val="18"/>
                <w:szCs w:val="18"/>
              </w:rPr>
            </w:pPr>
            <w:r w:rsidRPr="001F5347">
              <w:rPr>
                <w:color w:val="000000" w:themeColor="text1"/>
                <w:sz w:val="18"/>
                <w:szCs w:val="18"/>
              </w:rPr>
              <w:t>integrated governance and oversight of processes</w:t>
            </w:r>
          </w:p>
          <w:p w14:paraId="5D7873C5" w14:textId="77777777" w:rsidR="00CF3F2E" w:rsidRPr="001F5347" w:rsidRDefault="00CF3F2E" w:rsidP="00CF3F2E">
            <w:pPr>
              <w:pStyle w:val="ListParagraph"/>
              <w:numPr>
                <w:ilvl w:val="0"/>
                <w:numId w:val="1"/>
              </w:numPr>
              <w:spacing w:after="120"/>
              <w:rPr>
                <w:color w:val="000000" w:themeColor="text1"/>
                <w:sz w:val="18"/>
                <w:szCs w:val="18"/>
              </w:rPr>
            </w:pPr>
            <w:r w:rsidRPr="001F5347">
              <w:rPr>
                <w:color w:val="000000" w:themeColor="text1"/>
                <w:sz w:val="18"/>
                <w:szCs w:val="18"/>
              </w:rPr>
              <w:t>local market knowledge, market access and execution expertise and;</w:t>
            </w:r>
          </w:p>
          <w:p w14:paraId="70FE3B62" w14:textId="77777777" w:rsidR="00CF3F2E" w:rsidRPr="001F5347" w:rsidRDefault="00CF3F2E" w:rsidP="00CF3F2E">
            <w:pPr>
              <w:pStyle w:val="ListParagraph"/>
              <w:numPr>
                <w:ilvl w:val="0"/>
                <w:numId w:val="1"/>
              </w:numPr>
              <w:spacing w:after="120"/>
              <w:rPr>
                <w:color w:val="000000" w:themeColor="text1"/>
                <w:sz w:val="18"/>
                <w:szCs w:val="18"/>
              </w:rPr>
            </w:pPr>
            <w:r w:rsidRPr="001F5347">
              <w:rPr>
                <w:color w:val="000000" w:themeColor="text1"/>
                <w:sz w:val="18"/>
                <w:szCs w:val="18"/>
              </w:rPr>
              <w:t>integrated chain of execution</w:t>
            </w:r>
          </w:p>
          <w:p w14:paraId="6439113D" w14:textId="77777777" w:rsidR="00CF3F2E" w:rsidRPr="001F5347" w:rsidRDefault="00CF3F2E" w:rsidP="00CF3F2E">
            <w:pPr>
              <w:spacing w:after="120"/>
              <w:rPr>
                <w:color w:val="000000" w:themeColor="text1"/>
                <w:sz w:val="18"/>
                <w:szCs w:val="18"/>
              </w:rPr>
            </w:pPr>
            <w:r w:rsidRPr="001F5347">
              <w:rPr>
                <w:color w:val="000000" w:themeColor="text1"/>
                <w:sz w:val="18"/>
                <w:szCs w:val="18"/>
              </w:rPr>
              <w:t>Whilst our affiliates operate in different regulatory jurisdictions, we also expect them to take a similar (but not necessarily equivalent) approach to their treatment of the execution factors (such as price, and speed) that affect overall quality of execution.</w:t>
            </w:r>
          </w:p>
        </w:tc>
      </w:tr>
      <w:tr w:rsidR="00CF3F2E" w:rsidRPr="003C48D4" w14:paraId="5601713C" w14:textId="77777777" w:rsidTr="00EE1980">
        <w:tc>
          <w:tcPr>
            <w:tcW w:w="4410" w:type="dxa"/>
            <w:tcBorders>
              <w:left w:val="single" w:sz="12" w:space="0" w:color="auto"/>
            </w:tcBorders>
            <w:shd w:val="clear" w:color="auto" w:fill="D9D9D9" w:themeFill="background1" w:themeFillShade="D9"/>
          </w:tcPr>
          <w:p w14:paraId="3C5AB426" w14:textId="77777777" w:rsidR="00CF3F2E" w:rsidRPr="001F5347" w:rsidRDefault="00CF3F2E" w:rsidP="00CF3F2E">
            <w:pPr>
              <w:rPr>
                <w:color w:val="000000" w:themeColor="text1"/>
                <w:sz w:val="18"/>
                <w:szCs w:val="18"/>
              </w:rPr>
            </w:pPr>
            <w:r w:rsidRPr="001F5347">
              <w:rPr>
                <w:color w:val="000000" w:themeColor="text1"/>
                <w:sz w:val="18"/>
                <w:szCs w:val="18"/>
              </w:rPr>
              <w:t>Receiving firm close links / conflicts of interest / common ownerships</w:t>
            </w:r>
          </w:p>
        </w:tc>
        <w:tc>
          <w:tcPr>
            <w:tcW w:w="9990" w:type="dxa"/>
            <w:tcBorders>
              <w:right w:val="single" w:sz="12" w:space="0" w:color="auto"/>
            </w:tcBorders>
          </w:tcPr>
          <w:p w14:paraId="7EBDE4DA" w14:textId="77777777" w:rsidR="00CF3F2E" w:rsidRPr="001F5347" w:rsidRDefault="00CF3F2E" w:rsidP="00CF3F2E">
            <w:pPr>
              <w:spacing w:after="120"/>
              <w:rPr>
                <w:color w:val="000000" w:themeColor="text1"/>
                <w:sz w:val="18"/>
                <w:szCs w:val="18"/>
              </w:rPr>
            </w:pPr>
            <w:r w:rsidRPr="001F5347">
              <w:rPr>
                <w:color w:val="000000" w:themeColor="text1"/>
                <w:sz w:val="18"/>
                <w:szCs w:val="18"/>
              </w:rPr>
              <w:t xml:space="preserve">The affiliates used for the majority of cross-regional execution are all owned by J.P. Morgan holding companies and are expected to co-operate closely to meet the objectives of the firm and its clients. </w:t>
            </w:r>
          </w:p>
        </w:tc>
      </w:tr>
      <w:tr w:rsidR="00CF3F2E" w:rsidRPr="003C48D4" w14:paraId="6604060C" w14:textId="77777777" w:rsidTr="00EE1980">
        <w:tc>
          <w:tcPr>
            <w:tcW w:w="4410" w:type="dxa"/>
            <w:tcBorders>
              <w:left w:val="single" w:sz="12" w:space="0" w:color="auto"/>
            </w:tcBorders>
            <w:shd w:val="clear" w:color="auto" w:fill="D9D9D9" w:themeFill="background1" w:themeFillShade="D9"/>
          </w:tcPr>
          <w:p w14:paraId="1061F652" w14:textId="77777777" w:rsidR="00CF3F2E" w:rsidRPr="001F5347" w:rsidRDefault="00CF3F2E" w:rsidP="00CF3F2E">
            <w:pPr>
              <w:rPr>
                <w:color w:val="000000" w:themeColor="text1"/>
                <w:sz w:val="18"/>
                <w:szCs w:val="18"/>
              </w:rPr>
            </w:pPr>
            <w:r w:rsidRPr="001F5347">
              <w:rPr>
                <w:color w:val="000000" w:themeColor="text1"/>
                <w:sz w:val="18"/>
                <w:szCs w:val="18"/>
              </w:rPr>
              <w:t>Specific receiving firm arrangements</w:t>
            </w:r>
          </w:p>
        </w:tc>
        <w:tc>
          <w:tcPr>
            <w:tcW w:w="9990" w:type="dxa"/>
            <w:tcBorders>
              <w:right w:val="single" w:sz="12" w:space="0" w:color="auto"/>
            </w:tcBorders>
          </w:tcPr>
          <w:p w14:paraId="1933745E" w14:textId="209F0196" w:rsidR="00CF3F2E" w:rsidRPr="001F5347" w:rsidRDefault="00CF3F2E" w:rsidP="00CF3F2E">
            <w:pPr>
              <w:spacing w:after="120"/>
              <w:rPr>
                <w:color w:val="000000" w:themeColor="text1"/>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CF3F2E" w:rsidRPr="003C48D4" w14:paraId="73F401D3" w14:textId="77777777" w:rsidTr="00EE1980">
        <w:tc>
          <w:tcPr>
            <w:tcW w:w="4410" w:type="dxa"/>
            <w:tcBorders>
              <w:left w:val="single" w:sz="12" w:space="0" w:color="auto"/>
            </w:tcBorders>
            <w:shd w:val="clear" w:color="auto" w:fill="D9D9D9" w:themeFill="background1" w:themeFillShade="D9"/>
          </w:tcPr>
          <w:p w14:paraId="4368FAA3" w14:textId="77777777" w:rsidR="00CF3F2E" w:rsidRPr="001F5347" w:rsidRDefault="00CF3F2E" w:rsidP="00CF3F2E">
            <w:pPr>
              <w:rPr>
                <w:color w:val="000000" w:themeColor="text1"/>
                <w:sz w:val="18"/>
                <w:szCs w:val="18"/>
              </w:rPr>
            </w:pPr>
            <w:r w:rsidRPr="001F5347">
              <w:rPr>
                <w:color w:val="000000" w:themeColor="text1"/>
                <w:sz w:val="18"/>
                <w:szCs w:val="18"/>
              </w:rPr>
              <w:t>Changes to receiving firms</w:t>
            </w:r>
          </w:p>
        </w:tc>
        <w:tc>
          <w:tcPr>
            <w:tcW w:w="9990" w:type="dxa"/>
            <w:tcBorders>
              <w:right w:val="single" w:sz="12" w:space="0" w:color="auto"/>
            </w:tcBorders>
          </w:tcPr>
          <w:p w14:paraId="2D6417DB" w14:textId="216EA47C" w:rsidR="00CF3F2E" w:rsidRPr="001F5347" w:rsidRDefault="00CF3F2E" w:rsidP="00CF3F2E">
            <w:pPr>
              <w:spacing w:after="120"/>
              <w:rPr>
                <w:color w:val="000000" w:themeColor="text1"/>
                <w:sz w:val="18"/>
                <w:szCs w:val="18"/>
              </w:rPr>
            </w:pPr>
            <w:r>
              <w:rPr>
                <w:color w:val="000000" w:themeColor="text1"/>
                <w:sz w:val="18"/>
                <w:szCs w:val="18"/>
              </w:rPr>
              <w:t>Not Applicable</w:t>
            </w:r>
          </w:p>
        </w:tc>
      </w:tr>
      <w:tr w:rsidR="00CF3F2E" w:rsidRPr="003C48D4" w14:paraId="03D6CF2C" w14:textId="77777777" w:rsidTr="00EE1980">
        <w:tc>
          <w:tcPr>
            <w:tcW w:w="4410" w:type="dxa"/>
            <w:tcBorders>
              <w:left w:val="single" w:sz="12" w:space="0" w:color="auto"/>
            </w:tcBorders>
            <w:shd w:val="clear" w:color="auto" w:fill="D9D9D9" w:themeFill="background1" w:themeFillShade="D9"/>
          </w:tcPr>
          <w:p w14:paraId="72F6F09D" w14:textId="77777777" w:rsidR="00CF3F2E" w:rsidRPr="001F5347" w:rsidRDefault="00CF3F2E" w:rsidP="00CF3F2E">
            <w:pPr>
              <w:rPr>
                <w:color w:val="000000" w:themeColor="text1"/>
                <w:sz w:val="18"/>
                <w:szCs w:val="18"/>
              </w:rPr>
            </w:pPr>
            <w:r w:rsidRPr="001F5347">
              <w:rPr>
                <w:color w:val="000000" w:themeColor="text1"/>
                <w:sz w:val="18"/>
                <w:szCs w:val="18"/>
              </w:rPr>
              <w:t>Client distinctions</w:t>
            </w:r>
          </w:p>
        </w:tc>
        <w:tc>
          <w:tcPr>
            <w:tcW w:w="9990" w:type="dxa"/>
            <w:tcBorders>
              <w:right w:val="single" w:sz="12" w:space="0" w:color="auto"/>
            </w:tcBorders>
          </w:tcPr>
          <w:p w14:paraId="0679A5B5" w14:textId="77777777" w:rsidR="00CF3F2E" w:rsidRPr="001F5347" w:rsidRDefault="00CF3F2E" w:rsidP="00CF3F2E">
            <w:pPr>
              <w:spacing w:after="120"/>
              <w:rPr>
                <w:color w:val="000000" w:themeColor="text1"/>
                <w:sz w:val="18"/>
                <w:szCs w:val="18"/>
              </w:rPr>
            </w:pPr>
            <w:r w:rsidRPr="001F5347">
              <w:rPr>
                <w:color w:val="000000" w:themeColor="text1"/>
                <w:sz w:val="18"/>
                <w:szCs w:val="18"/>
              </w:rPr>
              <w:t>Our arrangements do not differ by client categorisation.</w:t>
            </w:r>
          </w:p>
        </w:tc>
      </w:tr>
      <w:tr w:rsidR="00CF3F2E" w:rsidRPr="003C48D4" w14:paraId="203913BE" w14:textId="77777777" w:rsidTr="00EE1980">
        <w:tc>
          <w:tcPr>
            <w:tcW w:w="4410" w:type="dxa"/>
            <w:tcBorders>
              <w:left w:val="single" w:sz="12" w:space="0" w:color="auto"/>
            </w:tcBorders>
            <w:shd w:val="clear" w:color="auto" w:fill="D9D9D9" w:themeFill="background1" w:themeFillShade="D9"/>
          </w:tcPr>
          <w:p w14:paraId="62D68A39" w14:textId="77777777" w:rsidR="00CF3F2E" w:rsidRPr="001F5347" w:rsidRDefault="00CF3F2E" w:rsidP="00CF3F2E">
            <w:pPr>
              <w:rPr>
                <w:color w:val="000000" w:themeColor="text1"/>
                <w:sz w:val="18"/>
                <w:szCs w:val="18"/>
              </w:rPr>
            </w:pPr>
            <w:r w:rsidRPr="001F5347">
              <w:rPr>
                <w:color w:val="000000" w:themeColor="text1"/>
                <w:sz w:val="18"/>
                <w:szCs w:val="18"/>
              </w:rPr>
              <w:t>Use of data/tools relating to the quality of execution</w:t>
            </w:r>
          </w:p>
        </w:tc>
        <w:tc>
          <w:tcPr>
            <w:tcW w:w="9990" w:type="dxa"/>
            <w:tcBorders>
              <w:right w:val="single" w:sz="12" w:space="0" w:color="auto"/>
            </w:tcBorders>
          </w:tcPr>
          <w:p w14:paraId="5B81923C" w14:textId="77777777" w:rsidR="00CF3F2E" w:rsidRPr="001F5347" w:rsidRDefault="00CF3F2E" w:rsidP="00CF3F2E">
            <w:pPr>
              <w:spacing w:after="120"/>
              <w:rPr>
                <w:color w:val="000000" w:themeColor="text1"/>
                <w:sz w:val="18"/>
                <w:szCs w:val="18"/>
              </w:rPr>
            </w:pPr>
            <w:bookmarkStart w:id="0" w:name="_GoBack"/>
            <w:bookmarkEnd w:id="0"/>
            <w:r w:rsidRPr="001F5347">
              <w:rPr>
                <w:color w:val="000000" w:themeColor="text1"/>
                <w:sz w:val="18"/>
                <w:szCs w:val="18"/>
              </w:rPr>
              <w:t>We have used group-level transaction cost analysis technology in our analysis.</w:t>
            </w:r>
          </w:p>
          <w:p w14:paraId="14D3E65C" w14:textId="77777777" w:rsidR="00CF3F2E" w:rsidRPr="001F5347" w:rsidRDefault="00CF3F2E" w:rsidP="00CF3F2E">
            <w:pPr>
              <w:spacing w:after="120"/>
              <w:rPr>
                <w:i/>
                <w:color w:val="000000" w:themeColor="text1"/>
                <w:sz w:val="18"/>
                <w:szCs w:val="18"/>
              </w:rPr>
            </w:pPr>
          </w:p>
        </w:tc>
      </w:tr>
      <w:tr w:rsidR="00CF3F2E" w:rsidRPr="003C48D4" w14:paraId="508D1A05" w14:textId="77777777" w:rsidTr="00EE1980">
        <w:tc>
          <w:tcPr>
            <w:tcW w:w="4410" w:type="dxa"/>
            <w:tcBorders>
              <w:left w:val="single" w:sz="12" w:space="0" w:color="auto"/>
            </w:tcBorders>
            <w:shd w:val="clear" w:color="auto" w:fill="D9D9D9" w:themeFill="background1" w:themeFillShade="D9"/>
          </w:tcPr>
          <w:p w14:paraId="48B71BF7" w14:textId="77777777" w:rsidR="00CF3F2E" w:rsidRPr="001F5347" w:rsidRDefault="00CF3F2E" w:rsidP="00CF3F2E">
            <w:pPr>
              <w:rPr>
                <w:color w:val="000000" w:themeColor="text1"/>
                <w:sz w:val="18"/>
                <w:szCs w:val="18"/>
              </w:rPr>
            </w:pPr>
            <w:r w:rsidRPr="001F5347">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33B8B88F" w14:textId="74C2BF8E" w:rsidR="00CF3F2E" w:rsidRPr="00CF3F2E" w:rsidRDefault="00CF3F2E" w:rsidP="00CF3F2E">
            <w:pPr>
              <w:spacing w:after="120"/>
              <w:rPr>
                <w:i/>
                <w:color w:val="000000" w:themeColor="text1"/>
                <w:sz w:val="18"/>
                <w:szCs w:val="18"/>
              </w:rPr>
            </w:pPr>
            <w:r>
              <w:rPr>
                <w:color w:val="000000" w:themeColor="text1"/>
                <w:sz w:val="18"/>
                <w:szCs w:val="18"/>
              </w:rPr>
              <w:t>Not Applicable</w:t>
            </w:r>
          </w:p>
        </w:tc>
      </w:tr>
    </w:tbl>
    <w:p w14:paraId="3599927D" w14:textId="416AD050" w:rsidR="00F24840" w:rsidRDefault="00F24840" w:rsidP="008D0EE2"/>
    <w:p w14:paraId="3F2A1981" w14:textId="77777777" w:rsidR="00CF3F2E" w:rsidRDefault="00CF3F2E" w:rsidP="008D0EE2"/>
    <w:sectPr w:rsidR="00CF3F2E" w:rsidSect="00791919">
      <w:footerReference w:type="default" r:id="rId11"/>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992A0" w14:textId="77777777" w:rsidR="00053C8D" w:rsidRDefault="00053C8D" w:rsidP="00791919">
      <w:pPr>
        <w:spacing w:after="0" w:line="240" w:lineRule="auto"/>
      </w:pPr>
      <w:r>
        <w:separator/>
      </w:r>
    </w:p>
  </w:endnote>
  <w:endnote w:type="continuationSeparator" w:id="0">
    <w:p w14:paraId="359992A1" w14:textId="77777777" w:rsidR="00053C8D" w:rsidRDefault="00053C8D"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992A3" w14:textId="4AFCB399" w:rsidR="00791919" w:rsidRPr="002A3033" w:rsidRDefault="002A3033" w:rsidP="002A3033">
    <w:pPr>
      <w:rPr>
        <w:sz w:val="18"/>
        <w:szCs w:val="18"/>
      </w:rPr>
    </w:pPr>
    <w:r>
      <w:rPr>
        <w:sz w:val="18"/>
        <w:szCs w:val="18"/>
      </w:rPr>
      <w:t>J.P. Morgan Securities 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359992A4" wp14:editId="359992A5">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359992A8" w14:textId="133C7110"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59992A4"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359992A8" w14:textId="133C7110"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59992A6" wp14:editId="359992A7">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E27F747"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9929E" w14:textId="77777777" w:rsidR="00053C8D" w:rsidRDefault="00053C8D" w:rsidP="00791919">
      <w:pPr>
        <w:spacing w:after="0" w:line="240" w:lineRule="auto"/>
      </w:pPr>
      <w:r>
        <w:separator/>
      </w:r>
    </w:p>
  </w:footnote>
  <w:footnote w:type="continuationSeparator" w:id="0">
    <w:p w14:paraId="3599929F" w14:textId="77777777" w:rsidR="00053C8D" w:rsidRDefault="00053C8D" w:rsidP="00791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54A4"/>
    <w:rsid w:val="000469E1"/>
    <w:rsid w:val="00053C8D"/>
    <w:rsid w:val="000615FB"/>
    <w:rsid w:val="000B29B9"/>
    <w:rsid w:val="000B3236"/>
    <w:rsid w:val="000C75E5"/>
    <w:rsid w:val="00102EB3"/>
    <w:rsid w:val="00141597"/>
    <w:rsid w:val="001A5558"/>
    <w:rsid w:val="001D0CA7"/>
    <w:rsid w:val="001D7E89"/>
    <w:rsid w:val="001E4046"/>
    <w:rsid w:val="00210DEB"/>
    <w:rsid w:val="00217666"/>
    <w:rsid w:val="00236BCE"/>
    <w:rsid w:val="002A3033"/>
    <w:rsid w:val="002B39A0"/>
    <w:rsid w:val="002D07D7"/>
    <w:rsid w:val="002D1780"/>
    <w:rsid w:val="003008C6"/>
    <w:rsid w:val="00307A3E"/>
    <w:rsid w:val="0035063A"/>
    <w:rsid w:val="003537EB"/>
    <w:rsid w:val="00374F5C"/>
    <w:rsid w:val="003A6015"/>
    <w:rsid w:val="003C48D4"/>
    <w:rsid w:val="0047552E"/>
    <w:rsid w:val="005110F9"/>
    <w:rsid w:val="00520E03"/>
    <w:rsid w:val="00656ECF"/>
    <w:rsid w:val="006B0D5E"/>
    <w:rsid w:val="0071640F"/>
    <w:rsid w:val="00791919"/>
    <w:rsid w:val="007A6941"/>
    <w:rsid w:val="007B228E"/>
    <w:rsid w:val="00804E0D"/>
    <w:rsid w:val="008475F2"/>
    <w:rsid w:val="00861DC6"/>
    <w:rsid w:val="00881418"/>
    <w:rsid w:val="008C2482"/>
    <w:rsid w:val="008C3D9F"/>
    <w:rsid w:val="008D0EE2"/>
    <w:rsid w:val="008E595C"/>
    <w:rsid w:val="00901F44"/>
    <w:rsid w:val="00902C96"/>
    <w:rsid w:val="00912863"/>
    <w:rsid w:val="00917912"/>
    <w:rsid w:val="00920127"/>
    <w:rsid w:val="009203A5"/>
    <w:rsid w:val="00965D08"/>
    <w:rsid w:val="009802F7"/>
    <w:rsid w:val="00987336"/>
    <w:rsid w:val="009B3987"/>
    <w:rsid w:val="009E754E"/>
    <w:rsid w:val="00A07CEE"/>
    <w:rsid w:val="00A54A2F"/>
    <w:rsid w:val="00A872C5"/>
    <w:rsid w:val="00AA5380"/>
    <w:rsid w:val="00AD1EBB"/>
    <w:rsid w:val="00AE1027"/>
    <w:rsid w:val="00AE1F1F"/>
    <w:rsid w:val="00AE4966"/>
    <w:rsid w:val="00B011C5"/>
    <w:rsid w:val="00B87544"/>
    <w:rsid w:val="00BB2060"/>
    <w:rsid w:val="00C302FD"/>
    <w:rsid w:val="00C8611B"/>
    <w:rsid w:val="00CC4589"/>
    <w:rsid w:val="00CF1737"/>
    <w:rsid w:val="00CF30DA"/>
    <w:rsid w:val="00CF3F2E"/>
    <w:rsid w:val="00D4069F"/>
    <w:rsid w:val="00E063FD"/>
    <w:rsid w:val="00E73067"/>
    <w:rsid w:val="00E845ED"/>
    <w:rsid w:val="00EE008A"/>
    <w:rsid w:val="00EE09DB"/>
    <w:rsid w:val="00F010E3"/>
    <w:rsid w:val="00F24840"/>
    <w:rsid w:val="00F32671"/>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99925A"/>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ListParagraph">
    <w:name w:val="List Paragraph"/>
    <w:basedOn w:val="Normal"/>
    <w:uiPriority w:val="34"/>
    <w:qFormat/>
    <w:rsid w:val="00CF3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23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0F255-224F-4D4E-BCFA-88685F1F9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1DEE3-1054-4096-BA59-2BC4B51DCAA0}">
  <ds:schemaRefs>
    <ds:schemaRef ds:uri="http://schemas.microsoft.com/sharepoint/v3/contenttype/forms"/>
  </ds:schemaRefs>
</ds:datastoreItem>
</file>

<file path=customXml/itemProps3.xml><?xml version="1.0" encoding="utf-8"?>
<ds:datastoreItem xmlns:ds="http://schemas.openxmlformats.org/officeDocument/2006/customXml" ds:itemID="{95000CAE-4418-4791-AD06-A5B946A7C059}">
  <ds:schemaRefs>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http://purl.org/dc/dcmitype/"/>
    <ds:schemaRef ds:uri="http://www.w3.org/XML/1998/namespace"/>
    <ds:schemaRef ds:uri="7d1f7825-6765-4743-817d-89ed4ea58d40"/>
    <ds:schemaRef ds:uri="http://schemas.microsoft.com/office/2006/metadata/properties"/>
  </ds:schemaRefs>
</ds:datastoreItem>
</file>

<file path=customXml/itemProps4.xml><?xml version="1.0" encoding="utf-8"?>
<ds:datastoreItem xmlns:ds="http://schemas.openxmlformats.org/officeDocument/2006/customXml" ds:itemID="{8C4A2147-E879-4CDB-8E85-868DBCD79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Securities PLC</dc:creator>
  <cp:lastModifiedBy>Ruchman, Adam T</cp:lastModifiedBy>
  <cp:revision>9</cp:revision>
  <cp:lastPrinted>2018-03-01T08:50:00Z</cp:lastPrinted>
  <dcterms:created xsi:type="dcterms:W3CDTF">2018-04-26T14:40:00Z</dcterms:created>
  <dcterms:modified xsi:type="dcterms:W3CDTF">2018-04-27T13:26:00Z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